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w:t>
      </w:r>
      <w:r>
        <w:rPr>
          <w:rFonts w:hint="eastAsia" w:cs="Arial"/>
          <w:b/>
          <w:color w:val="auto"/>
          <w:sz w:val="24"/>
          <w:lang w:val="en-US" w:eastAsia="zh-CN"/>
        </w:rPr>
        <w:t>12</w:t>
      </w:r>
      <w:r>
        <w:rPr>
          <w:rFonts w:ascii="Arial" w:hAnsi="Arial" w:eastAsia="MS Mincho"/>
          <w:b/>
          <w:color w:val="auto"/>
          <w:sz w:val="24"/>
        </w:rPr>
        <w:tab/>
      </w:r>
      <w:r>
        <w:rPr>
          <w:rFonts w:ascii="Arial" w:hAnsi="Arial"/>
          <w:b/>
          <w:color w:val="auto"/>
          <w:sz w:val="24"/>
          <w:lang w:eastAsia="zh-CN"/>
        </w:rPr>
        <w:t>R4-</w:t>
      </w:r>
      <w:r>
        <w:rPr>
          <w:rFonts w:hint="eastAsia"/>
          <w:b/>
          <w:color w:val="auto"/>
          <w:sz w:val="24"/>
          <w:lang w:val="en-US" w:eastAsia="zh-CN"/>
        </w:rPr>
        <w:t>2413081</w:t>
      </w:r>
      <w:bookmarkStart w:id="5" w:name="_GoBack"/>
      <w:bookmarkEnd w:id="5"/>
    </w:p>
    <w:p>
      <w:pPr>
        <w:pStyle w:val="15"/>
        <w:tabs>
          <w:tab w:val="right" w:pos="9781"/>
          <w:tab w:val="right" w:pos="13323"/>
          <w:tab w:val="clear" w:pos="4536"/>
          <w:tab w:val="clear" w:pos="9072"/>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 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23</w:t>
      </w:r>
      <w:r>
        <w:rPr>
          <w:rFonts w:ascii="Arial" w:hAnsi="Arial" w:eastAsia="宋体" w:cs="Arial"/>
          <w:b/>
          <w:sz w:val="24"/>
          <w:szCs w:val="24"/>
          <w:vertAlign w:val="superscript"/>
          <w:lang w:eastAsia="zh-CN"/>
        </w:rPr>
        <w:t>rd</w:t>
      </w:r>
      <w:r>
        <w:rPr>
          <w:rFonts w:ascii="Arial" w:hAnsi="Arial" w:eastAsia="宋体" w:cs="Arial"/>
          <w:b/>
          <w:sz w:val="24"/>
          <w:szCs w:val="24"/>
          <w:lang w:eastAsia="zh-CN"/>
        </w:rPr>
        <w:t xml:space="preserve"> August, 2024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5"/>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r>
        <w:rPr>
          <w:rFonts w:hint="eastAsia" w:eastAsia="宋体"/>
          <w:color w:val="auto"/>
          <w:sz w:val="24"/>
          <w:lang w:val="en-US" w:eastAsia="zh-CN"/>
        </w:rPr>
        <w:t>, Sanechips</w:t>
      </w:r>
    </w:p>
    <w:p>
      <w:pPr>
        <w:pStyle w:val="15"/>
        <w:tabs>
          <w:tab w:val="left" w:pos="1800"/>
          <w:tab w:val="left" w:pos="3825"/>
          <w:tab w:val="clear" w:pos="4536"/>
          <w:tab w:val="clear" w:pos="9072"/>
        </w:tabs>
        <w:spacing w:after="60"/>
        <w:jc w:val="both"/>
        <w:rPr>
          <w:rFonts w:hint="eastAsia"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RRM aspects of R19 SBFD</w:t>
      </w:r>
    </w:p>
    <w:p>
      <w:pPr>
        <w:pStyle w:val="15"/>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8.19.3</w:t>
      </w:r>
    </w:p>
    <w:p>
      <w:pPr>
        <w:pStyle w:val="15"/>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Discussion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9"/>
        <w:bidi w:val="0"/>
        <w:rPr>
          <w:rFonts w:hint="default" w:ascii="Arial" w:hAnsi="Arial" w:cs="Arial"/>
          <w:lang w:val="en-US" w:eastAsia="zh-CN"/>
        </w:rPr>
      </w:pPr>
      <w:r>
        <w:rPr>
          <w:rFonts w:hint="default" w:ascii="Arial" w:hAnsi="Arial" w:cs="Arial"/>
          <w:lang w:val="en-US" w:eastAsia="zh-CN"/>
        </w:rPr>
        <w:t xml:space="preserve">In </w:t>
      </w:r>
      <w:r>
        <w:rPr>
          <w:rFonts w:hint="eastAsia" w:cs="Arial"/>
          <w:lang w:val="en-US" w:eastAsia="zh-CN"/>
        </w:rPr>
        <w:t>RAN plenary 102 meeting</w:t>
      </w:r>
      <w:r>
        <w:rPr>
          <w:rFonts w:hint="default" w:ascii="Arial" w:hAnsi="Arial" w:cs="Arial"/>
          <w:lang w:val="en-US" w:eastAsia="zh-CN"/>
        </w:rPr>
        <w:t xml:space="preserve">, </w:t>
      </w:r>
      <w:r>
        <w:rPr>
          <w:rFonts w:hint="eastAsia" w:cs="Arial"/>
          <w:lang w:val="en-US" w:eastAsia="zh-CN"/>
        </w:rPr>
        <w:t xml:space="preserve">a R19 WI on Sub-band full duplex (SBFD) was approved in </w:t>
      </w:r>
      <w:r>
        <w:rPr>
          <w:rFonts w:hint="eastAsia" w:cs="Arial"/>
          <w:lang w:val="en-US" w:eastAsia="zh-CN"/>
        </w:rPr>
        <w:fldChar w:fldCharType="begin"/>
      </w:r>
      <w:r>
        <w:rPr>
          <w:rFonts w:hint="eastAsia" w:cs="Arial"/>
          <w:lang w:val="en-US" w:eastAsia="zh-CN"/>
        </w:rPr>
        <w:instrText xml:space="preserve"> REF _Ref158037842 \n \h </w:instrText>
      </w:r>
      <w:r>
        <w:rPr>
          <w:rFonts w:hint="eastAsia" w:cs="Arial"/>
          <w:lang w:val="en-US" w:eastAsia="zh-CN"/>
        </w:rPr>
        <w:fldChar w:fldCharType="separate"/>
      </w:r>
      <w:r>
        <w:rPr>
          <w:rFonts w:hint="eastAsia" w:cs="Arial"/>
          <w:lang w:val="en-US" w:eastAsia="zh-CN"/>
        </w:rPr>
        <w:t>[1]</w:t>
      </w:r>
      <w:r>
        <w:rPr>
          <w:rFonts w:hint="eastAsia" w:cs="Arial"/>
          <w:lang w:val="en-US" w:eastAsia="zh-CN"/>
        </w:rPr>
        <w:fldChar w:fldCharType="end"/>
      </w:r>
      <w:r>
        <w:rPr>
          <w:rFonts w:hint="eastAsia" w:cs="Arial"/>
          <w:lang w:val="en-US" w:eastAsia="zh-CN"/>
        </w:rPr>
        <w:t>. We summarize the objectives of the WI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kinsoku/>
              <w:wordWrap/>
              <w:overflowPunct/>
              <w:topLinePunct w:val="0"/>
              <w:autoSpaceDE/>
              <w:autoSpaceDN/>
              <w:bidi w:val="0"/>
              <w:adjustRightInd/>
              <w:snapToGrid/>
              <w:spacing w:line="240" w:lineRule="auto"/>
              <w:ind w:right="-99"/>
              <w:jc w:val="both"/>
              <w:textAlignment w:val="auto"/>
              <w:rPr>
                <w:bCs/>
                <w:lang w:eastAsia="ko-KR"/>
              </w:rPr>
            </w:pPr>
            <w:r>
              <w:rPr>
                <w:rFonts w:hint="eastAsia"/>
                <w:bCs/>
                <w:lang w:eastAsia="ko-KR"/>
              </w:rPr>
              <w:t xml:space="preserve">The objectives are as </w:t>
            </w:r>
            <w:r>
              <w:rPr>
                <w:bCs/>
                <w:lang w:eastAsia="ko-KR"/>
              </w:rPr>
              <w:t>follows</w:t>
            </w:r>
            <w:r>
              <w:rPr>
                <w:rFonts w:hint="eastAsia"/>
                <w:bCs/>
                <w:lang w:eastAsia="ko-KR"/>
              </w:rPr>
              <w:t>:</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For subband non-overlapping full duplex (SBFD) operation at gNB side within a TDD carrier:</w:t>
            </w:r>
            <w:r>
              <w:rPr>
                <w:rFonts w:hint="eastAsia"/>
                <w:lang w:val="en-US" w:eastAsia="zh-CN"/>
              </w:rPr>
              <w:t xml:space="preserve"> </w:t>
            </w:r>
          </w:p>
          <w:p>
            <w:pPr>
              <w:keepNext w:val="0"/>
              <w:keepLines w:val="0"/>
              <w:pageBreakBefore w:val="0"/>
              <w:widowControl w:val="0"/>
              <w:numPr>
                <w:ilvl w:val="1"/>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Specify semi-static indication of time location of SBFD subbands to UEs in RRC_CONNECTED mode [RAN1, RAN2]</w:t>
            </w:r>
          </w:p>
          <w:p>
            <w:pPr>
              <w:keepNext w:val="0"/>
              <w:keepLines w:val="0"/>
              <w:pageBreakBefore w:val="0"/>
              <w:widowControl w:val="0"/>
              <w:numPr>
                <w:ilvl w:val="2"/>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Indication of time location of SBFD subbands in SIB is not precluded</w:t>
            </w:r>
          </w:p>
          <w:p>
            <w:pPr>
              <w:keepNext w:val="0"/>
              <w:keepLines w:val="0"/>
              <w:pageBreakBefore w:val="0"/>
              <w:widowControl w:val="0"/>
              <w:numPr>
                <w:ilvl w:val="1"/>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Specify semi-static indication of frequency domain location of SBFD subbands to UEs in RRC_CONNECTED mode [RAN1, RAN2]</w:t>
            </w:r>
          </w:p>
          <w:p>
            <w:pPr>
              <w:keepNext w:val="0"/>
              <w:keepLines w:val="0"/>
              <w:pageBreakBefore w:val="0"/>
              <w:widowControl w:val="0"/>
              <w:numPr>
                <w:ilvl w:val="2"/>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Indication of frequency domain location of SBFD subbands in SIB is not precluded</w:t>
            </w:r>
          </w:p>
          <w:p>
            <w:pPr>
              <w:keepNext w:val="0"/>
              <w:keepLines w:val="0"/>
              <w:pageBreakBefore w:val="0"/>
              <w:widowControl w:val="0"/>
              <w:numPr>
                <w:ilvl w:val="1"/>
                <w:numId w:val="4"/>
              </w:numPr>
              <w:kinsoku/>
              <w:wordWrap/>
              <w:overflowPunct/>
              <w:topLinePunct w:val="0"/>
              <w:autoSpaceDE/>
              <w:autoSpaceDN/>
              <w:bidi w:val="0"/>
              <w:adjustRightInd/>
              <w:snapToGrid/>
              <w:spacing w:line="240" w:lineRule="auto"/>
              <w:textAlignment w:val="auto"/>
              <w:rPr>
                <w:lang w:val="en-US" w:eastAsia="zh-CN"/>
              </w:rPr>
            </w:pPr>
            <w:r>
              <w:rPr>
                <w:lang w:val="en-US" w:eastAsia="zh-CN"/>
              </w:rPr>
              <w:t>Specify SBFD operation to support random access in SBFD symbols by UEs in RRC CONNECTED mode [RAN1, RAN2]</w:t>
            </w:r>
          </w:p>
          <w:p>
            <w:pPr>
              <w:keepNext w:val="0"/>
              <w:keepLines w:val="0"/>
              <w:pageBreakBefore w:val="0"/>
              <w:widowControl w:val="0"/>
              <w:numPr>
                <w:ilvl w:val="1"/>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lang w:val="en-US" w:eastAsia="zh-CN"/>
              </w:rPr>
              <w:t>Study and specify, if justified, SBFD operation to UE in RRC_IDLE/INACTIVE mode for random access [RAN1, RAN2]</w:t>
            </w:r>
          </w:p>
          <w:p>
            <w:pPr>
              <w:keepNext w:val="0"/>
              <w:keepLines w:val="0"/>
              <w:pageBreakBefore w:val="0"/>
              <w:widowControl w:val="0"/>
              <w:numPr>
                <w:ilvl w:val="2"/>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lang w:val="en-US" w:eastAsia="zh-CN"/>
              </w:rPr>
              <w:t>RAN#104 to check whether to proceed normative work</w:t>
            </w:r>
          </w:p>
          <w:p>
            <w:pPr>
              <w:keepNext w:val="0"/>
              <w:keepLines w:val="0"/>
              <w:pageBreakBefore w:val="0"/>
              <w:widowControl w:val="0"/>
              <w:numPr>
                <w:ilvl w:val="1"/>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bookmarkStart w:id="0" w:name="_Hlk153407590"/>
            <w:r>
              <w:rPr>
                <w:rFonts w:eastAsia="Malgun Gothic"/>
                <w:lang w:val="en-US" w:eastAsia="ko-KR"/>
              </w:rPr>
              <w:t>Specify UE transmission, reception and measurement behavior and procedures in SBFD symbols and/or non-SBFD symbols for SBFD aware UE [RAN1, RAN2]</w:t>
            </w:r>
          </w:p>
          <w:bookmarkEnd w:id="0"/>
          <w:p>
            <w:pPr>
              <w:keepNext w:val="0"/>
              <w:keepLines w:val="0"/>
              <w:pageBreakBefore w:val="0"/>
              <w:widowControl w:val="0"/>
              <w:numPr>
                <w:ilvl w:val="2"/>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 xml:space="preserve">Transmission and reception behaviours on SBFD subbands configured in DL and/or flexible symbol indicated by </w:t>
            </w:r>
            <w:r>
              <w:rPr>
                <w:rFonts w:eastAsia="Malgun Gothic"/>
                <w:i/>
                <w:iCs/>
                <w:lang w:val="en-US" w:eastAsia="ko-KR"/>
              </w:rPr>
              <w:t>TDD-UL-DL-ConfigCommon</w:t>
            </w:r>
          </w:p>
          <w:p>
            <w:pPr>
              <w:keepNext w:val="0"/>
              <w:keepLines w:val="0"/>
              <w:pageBreakBefore w:val="0"/>
              <w:widowControl w:val="0"/>
              <w:numPr>
                <w:ilvl w:val="3"/>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UL transmissions within UL subband only</w:t>
            </w:r>
          </w:p>
          <w:p>
            <w:pPr>
              <w:keepNext w:val="0"/>
              <w:keepLines w:val="0"/>
              <w:pageBreakBefore w:val="0"/>
              <w:widowControl w:val="0"/>
              <w:numPr>
                <w:ilvl w:val="3"/>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DL receptions within DL subband(s) only, except for CLI measurement by the UE outside of the DL subbands</w:t>
            </w:r>
          </w:p>
          <w:p>
            <w:pPr>
              <w:keepNext w:val="0"/>
              <w:keepLines w:val="0"/>
              <w:pageBreakBefore w:val="0"/>
              <w:widowControl w:val="0"/>
              <w:kinsoku/>
              <w:wordWrap/>
              <w:overflowPunct/>
              <w:topLinePunct w:val="0"/>
              <w:autoSpaceDE/>
              <w:autoSpaceDN/>
              <w:bidi w:val="0"/>
              <w:adjustRightInd/>
              <w:snapToGrid/>
              <w:spacing w:line="240" w:lineRule="auto"/>
              <w:ind w:left="2520" w:right="-99"/>
              <w:textAlignment w:val="auto"/>
              <w:rPr>
                <w:rFonts w:eastAsia="Malgun Gothic"/>
                <w:lang w:val="en-US" w:eastAsia="ko-KR"/>
              </w:rPr>
            </w:pPr>
            <w:r>
              <w:rPr>
                <w:rFonts w:eastAsia="Malgun Gothic"/>
                <w:lang w:val="en-US" w:eastAsia="ko-KR"/>
              </w:rPr>
              <w:t xml:space="preserve">Note: </w:t>
            </w:r>
            <w:r>
              <w:rPr>
                <w:lang w:val="en-US" w:eastAsia="zh-CN"/>
              </w:rPr>
              <w:t>When flexible symbols are used, it is not expected that any legacy Uplink symbol is converted to Downlink/SBFD symbols</w:t>
            </w:r>
          </w:p>
          <w:p>
            <w:pPr>
              <w:keepNext w:val="0"/>
              <w:keepLines w:val="0"/>
              <w:pageBreakBefore w:val="0"/>
              <w:widowControl w:val="0"/>
              <w:numPr>
                <w:ilvl w:val="2"/>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Enhancement on resource allocation in frequency domain in SBFD symbols, including</w:t>
            </w:r>
          </w:p>
          <w:p>
            <w:pPr>
              <w:keepNext w:val="0"/>
              <w:keepLines w:val="0"/>
              <w:pageBreakBefore w:val="0"/>
              <w:widowControl w:val="0"/>
              <w:numPr>
                <w:ilvl w:val="3"/>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resource allocation in frequency domain for PDSCH/CSI-RS across two DL subbands in SBFD symbols</w:t>
            </w:r>
          </w:p>
          <w:p>
            <w:pPr>
              <w:keepNext w:val="0"/>
              <w:keepLines w:val="0"/>
              <w:pageBreakBefore w:val="0"/>
              <w:widowControl w:val="0"/>
              <w:numPr>
                <w:ilvl w:val="3"/>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handling of unaligned boundaries between SBFD subband(s) and RBG, CSI reporting subband, CSI-RS resource, PRG</w:t>
            </w:r>
          </w:p>
          <w:p>
            <w:pPr>
              <w:keepNext w:val="0"/>
              <w:keepLines w:val="0"/>
              <w:pageBreakBefore w:val="0"/>
              <w:widowControl w:val="0"/>
              <w:numPr>
                <w:ilvl w:val="2"/>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pPr>
              <w:keepNext w:val="0"/>
              <w:keepLines w:val="0"/>
              <w:pageBreakBefore w:val="0"/>
              <w:widowControl w:val="0"/>
              <w:numPr>
                <w:ilvl w:val="3"/>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resource allocation in frequency domain for transmission or reception in SBFD symbols and non-SBFD symbols with different available frequency resource in different slots</w:t>
            </w:r>
          </w:p>
          <w:p>
            <w:pPr>
              <w:keepNext w:val="0"/>
              <w:keepLines w:val="0"/>
              <w:pageBreakBefore w:val="0"/>
              <w:widowControl w:val="0"/>
              <w:numPr>
                <w:ilvl w:val="3"/>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CSI report of which associated CSI-RS instances occur in both SBFD symbols and non-SBFD symbols in different slots</w:t>
            </w:r>
          </w:p>
          <w:p>
            <w:pPr>
              <w:keepNext w:val="0"/>
              <w:keepLines w:val="0"/>
              <w:pageBreakBefore w:val="0"/>
              <w:widowControl w:val="0"/>
              <w:numPr>
                <w:ilvl w:val="2"/>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Configurations for SRS, PUCCH and PUSCH on SBFD symbols and non-SBFD symbols, e.g., resources, frequency hopping parameters, UL power control parameters and/or beam/spatial relation</w:t>
            </w:r>
          </w:p>
          <w:p>
            <w:pPr>
              <w:keepNext w:val="0"/>
              <w:keepLines w:val="0"/>
              <w:pageBreakBefore w:val="0"/>
              <w:widowControl w:val="0"/>
              <w:numPr>
                <w:ilvl w:val="2"/>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Collision handling between DL reception in DL subband(s) and UL transmission in UL subband in a SBFD symbol</w:t>
            </w:r>
          </w:p>
          <w:p>
            <w:pPr>
              <w:keepNext w:val="0"/>
              <w:keepLines w:val="0"/>
              <w:pageBreakBefore w:val="0"/>
              <w:widowControl w:val="0"/>
              <w:numPr>
                <w:ilvl w:val="1"/>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Followings are assumed based on TR 38.858</w:t>
            </w:r>
          </w:p>
          <w:p>
            <w:pPr>
              <w:keepNext w:val="0"/>
              <w:keepLines w:val="0"/>
              <w:pageBreakBefore w:val="0"/>
              <w:widowControl w:val="0"/>
              <w:numPr>
                <w:ilvl w:val="2"/>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SBFD at the gNB side</w:t>
            </w:r>
            <w:r>
              <w:rPr>
                <w:rFonts w:hint="eastAsia"/>
                <w:lang w:val="en-US" w:eastAsia="zh-CN"/>
              </w:rPr>
              <w:t xml:space="preserve"> </w:t>
            </w:r>
          </w:p>
          <w:p>
            <w:pPr>
              <w:keepNext w:val="0"/>
              <w:keepLines w:val="0"/>
              <w:pageBreakBefore w:val="0"/>
              <w:widowControl w:val="0"/>
              <w:numPr>
                <w:ilvl w:val="2"/>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Half duplex operation at the UE side</w:t>
            </w:r>
            <w:r>
              <w:rPr>
                <w:rFonts w:hint="eastAsia"/>
                <w:lang w:val="en-US" w:eastAsia="zh-CN"/>
              </w:rPr>
              <w:t xml:space="preserve"> </w:t>
            </w:r>
          </w:p>
          <w:p>
            <w:pPr>
              <w:keepNext w:val="0"/>
              <w:keepLines w:val="0"/>
              <w:pageBreakBefore w:val="0"/>
              <w:widowControl w:val="0"/>
              <w:numPr>
                <w:ilvl w:val="2"/>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FR1 and FR2-1</w:t>
            </w:r>
          </w:p>
          <w:p>
            <w:pPr>
              <w:keepNext w:val="0"/>
              <w:keepLines w:val="0"/>
              <w:pageBreakBefore w:val="0"/>
              <w:widowControl w:val="0"/>
              <w:numPr>
                <w:ilvl w:val="2"/>
                <w:numId w:val="4"/>
              </w:numPr>
              <w:kinsoku/>
              <w:wordWrap/>
              <w:overflowPunct/>
              <w:topLinePunct w:val="0"/>
              <w:autoSpaceDE/>
              <w:autoSpaceDN/>
              <w:bidi w:val="0"/>
              <w:adjustRightInd/>
              <w:snapToGrid/>
              <w:spacing w:line="240" w:lineRule="auto"/>
              <w:ind w:right="-99"/>
              <w:textAlignment w:val="auto"/>
              <w:rPr>
                <w:rFonts w:eastAsia="Malgun Gothic"/>
                <w:highlight w:val="none"/>
                <w:lang w:val="en-US" w:eastAsia="ko-KR"/>
              </w:rPr>
            </w:pPr>
            <w:r>
              <w:rPr>
                <w:rFonts w:eastAsia="Malgun Gothic"/>
                <w:highlight w:val="none"/>
                <w:lang w:val="en-US" w:eastAsia="ko-KR"/>
              </w:rPr>
              <w:t>SBFD operation Option 4, i.e., both time and frequency locations of subbands for SBFD operation are known to SBFD aware UEs</w:t>
            </w:r>
          </w:p>
          <w:p>
            <w:pPr>
              <w:keepNext w:val="0"/>
              <w:keepLines w:val="0"/>
              <w:pageBreakBefore w:val="0"/>
              <w:widowControl w:val="0"/>
              <w:numPr>
                <w:ilvl w:val="2"/>
                <w:numId w:val="4"/>
              </w:numPr>
              <w:kinsoku/>
              <w:wordWrap/>
              <w:overflowPunct/>
              <w:topLinePunct w:val="0"/>
              <w:autoSpaceDE/>
              <w:autoSpaceDN/>
              <w:bidi w:val="0"/>
              <w:adjustRightInd/>
              <w:snapToGrid/>
              <w:spacing w:line="240" w:lineRule="auto"/>
              <w:ind w:right="-99"/>
              <w:textAlignment w:val="auto"/>
              <w:rPr>
                <w:rFonts w:eastAsia="Malgun Gothic"/>
                <w:highlight w:val="none"/>
                <w:lang w:val="en-US" w:eastAsia="ko-KR"/>
              </w:rPr>
            </w:pPr>
            <w:r>
              <w:rPr>
                <w:rFonts w:eastAsia="Malgun Gothic"/>
                <w:highlight w:val="none"/>
                <w:lang w:val="en-US" w:eastAsia="ko-KR"/>
              </w:rPr>
              <w:t>Coexistence between non-SBFD aware UEs (including legacy UEs) and SBFD aware UEs in the cell operating SBFD at gNB side</w:t>
            </w:r>
          </w:p>
          <w:p>
            <w:pPr>
              <w:keepNext w:val="0"/>
              <w:keepLines w:val="0"/>
              <w:pageBreakBefore w:val="0"/>
              <w:widowControl w:val="0"/>
              <w:numPr>
                <w:ilvl w:val="2"/>
                <w:numId w:val="4"/>
              </w:numPr>
              <w:kinsoku/>
              <w:wordWrap/>
              <w:overflowPunct/>
              <w:topLinePunct w:val="0"/>
              <w:autoSpaceDE/>
              <w:autoSpaceDN/>
              <w:bidi w:val="0"/>
              <w:adjustRightInd/>
              <w:snapToGrid/>
              <w:spacing w:line="240" w:lineRule="auto"/>
              <w:ind w:right="-99"/>
              <w:textAlignment w:val="auto"/>
              <w:rPr>
                <w:rFonts w:eastAsia="Malgun Gothic"/>
                <w:highlight w:val="none"/>
                <w:lang w:val="en-US" w:eastAsia="ko-KR"/>
              </w:rPr>
            </w:pPr>
            <w:r>
              <w:rPr>
                <w:rFonts w:eastAsia="Malgun Gothic"/>
                <w:highlight w:val="none"/>
                <w:lang w:val="en-US" w:eastAsia="ko-KR"/>
              </w:rPr>
              <w:t>SBFD scheme within a single configured DL and UL BWP pair with aligned center frequencies</w:t>
            </w:r>
          </w:p>
          <w:p>
            <w:pPr>
              <w:keepNext w:val="0"/>
              <w:keepLines w:val="0"/>
              <w:pageBreakBefore w:val="0"/>
              <w:widowControl w:val="0"/>
              <w:numPr>
                <w:ilvl w:val="2"/>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highlight w:val="none"/>
                <w:lang w:val="en-US" w:eastAsia="ko-KR"/>
              </w:rPr>
              <w:t>One UL subband for SB</w:t>
            </w:r>
            <w:r>
              <w:rPr>
                <w:rFonts w:eastAsia="Malgun Gothic"/>
                <w:lang w:val="en-US" w:eastAsia="ko-KR"/>
              </w:rPr>
              <w:t>FD operation in an SBFD symbol (excluding legacy UL symbol/slot) within a TDD carrier</w:t>
            </w:r>
          </w:p>
          <w:p>
            <w:pPr>
              <w:keepNext w:val="0"/>
              <w:keepLines w:val="0"/>
              <w:pageBreakBefore w:val="0"/>
              <w:widowControl w:val="0"/>
              <w:numPr>
                <w:ilvl w:val="2"/>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lang w:val="en-US" w:eastAsia="zh-CN"/>
              </w:rPr>
              <w:t xml:space="preserve">Mechanisms for SBFD operation shall also consider the </w:t>
            </w:r>
            <w:r>
              <w:rPr>
                <w:rFonts w:eastAsia="Malgun Gothic"/>
                <w:lang w:val="en-US" w:eastAsia="ko-KR"/>
              </w:rPr>
              <w:t>adjacent channel coexistence between two operators</w:t>
            </w:r>
            <w:r>
              <w:rPr>
                <w:rFonts w:hint="eastAsia" w:eastAsia="宋体"/>
                <w:lang w:val="en-US" w:eastAsia="zh-CN"/>
              </w:rPr>
              <w:t xml:space="preserve"> </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Specify enhancements for CLI handling [RAN1, RAN2, RAN3]:</w:t>
            </w:r>
          </w:p>
          <w:p>
            <w:pPr>
              <w:keepNext w:val="0"/>
              <w:keepLines w:val="0"/>
              <w:pageBreakBefore w:val="0"/>
              <w:widowControl w:val="0"/>
              <w:numPr>
                <w:ilvl w:val="1"/>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Support gNB-to-gNB co-channel CLI handling scheme(s) (the detailed schemes are to be down-selected from those in TR38.858 by RAN1#117)</w:t>
            </w:r>
            <w:r>
              <w:rPr>
                <w:rFonts w:hint="eastAsia" w:eastAsia="宋体"/>
                <w:lang w:val="en-US" w:eastAsia="zh-CN"/>
              </w:rPr>
              <w:t xml:space="preserve"> </w:t>
            </w:r>
          </w:p>
          <w:p>
            <w:pPr>
              <w:keepNext w:val="0"/>
              <w:keepLines w:val="0"/>
              <w:pageBreakBefore w:val="0"/>
              <w:widowControl w:val="0"/>
              <w:numPr>
                <w:ilvl w:val="1"/>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 xml:space="preserve">Support UE-to-UE co-channel CLI handling scheme(s) (the detailed schemes are to be down-selected from those in TR38.858 by RAN1#117) </w:t>
            </w:r>
            <w:r>
              <w:rPr>
                <w:rFonts w:hint="eastAsia" w:eastAsia="宋体"/>
                <w:lang w:val="en-US" w:eastAsia="zh-CN"/>
              </w:rPr>
              <w:t xml:space="preserve"> </w:t>
            </w:r>
          </w:p>
          <w:p>
            <w:pPr>
              <w:keepNext w:val="0"/>
              <w:keepLines w:val="0"/>
              <w:pageBreakBefore w:val="0"/>
              <w:widowControl w:val="0"/>
              <w:numPr>
                <w:ilvl w:val="1"/>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 xml:space="preserve">Note: Without dedicated optimization for dynamic/flexible TDD. </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right="-99"/>
              <w:textAlignment w:val="auto"/>
              <w:rPr>
                <w:rFonts w:eastAsia="Malgun Gothic"/>
                <w:lang w:val="en-US" w:eastAsia="ko-KR"/>
              </w:rPr>
            </w:pPr>
            <w:r>
              <w:rPr>
                <w:rFonts w:eastAsia="Malgun Gothic"/>
                <w:lang w:val="en-US" w:eastAsia="ko-KR"/>
              </w:rPr>
              <w:t>Specify BS RF requirements for SBFD operation at gNB [RAN4]</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right="-99"/>
              <w:textAlignment w:val="auto"/>
              <w:rPr>
                <w:rFonts w:hint="eastAsia" w:ascii="Arial" w:hAnsi="Arial" w:cs="Arial"/>
                <w:sz w:val="20"/>
                <w:szCs w:val="20"/>
                <w:u w:val="none"/>
                <w:lang w:val="en-US" w:eastAsia="zh-CN"/>
              </w:rPr>
            </w:pPr>
            <w:r>
              <w:rPr>
                <w:rFonts w:eastAsia="Malgun Gothic"/>
                <w:lang w:val="en-US" w:eastAsia="ko-KR"/>
              </w:rPr>
              <w:t xml:space="preserve">Specify applicable </w:t>
            </w:r>
            <w:r>
              <w:rPr>
                <w:rFonts w:eastAsia="Malgun Gothic"/>
                <w:highlight w:val="green"/>
                <w:lang w:val="en-US" w:eastAsia="ko-KR"/>
              </w:rPr>
              <w:t>RRM core requirements for co-channel CLI handling mechanisms</w:t>
            </w:r>
            <w:r>
              <w:rPr>
                <w:rFonts w:eastAsia="Malgun Gothic"/>
                <w:lang w:val="en-US" w:eastAsia="ko-KR"/>
              </w:rPr>
              <w:t xml:space="preserve"> [RAN4]</w:t>
            </w:r>
          </w:p>
          <w:p>
            <w:pPr>
              <w:keepNext w:val="0"/>
              <w:keepLines w:val="0"/>
              <w:pageBreakBefore w:val="0"/>
              <w:widowControl w:val="0"/>
              <w:numPr>
                <w:ilvl w:val="0"/>
                <w:numId w:val="4"/>
              </w:numPr>
              <w:kinsoku/>
              <w:wordWrap/>
              <w:overflowPunct/>
              <w:topLinePunct w:val="0"/>
              <w:autoSpaceDE/>
              <w:autoSpaceDN/>
              <w:bidi w:val="0"/>
              <w:adjustRightInd/>
              <w:snapToGrid/>
              <w:spacing w:line="240" w:lineRule="auto"/>
              <w:ind w:right="-99"/>
              <w:textAlignment w:val="auto"/>
              <w:rPr>
                <w:rFonts w:hint="eastAsia" w:ascii="Arial" w:hAnsi="Arial" w:cs="Arial"/>
                <w:sz w:val="20"/>
                <w:szCs w:val="20"/>
                <w:u w:val="none"/>
                <w:lang w:val="en-US" w:eastAsia="zh-CN"/>
              </w:rPr>
            </w:pPr>
            <w:r>
              <w:rPr>
                <w:rFonts w:eastAsia="Malgun Gothic"/>
                <w:lang w:val="en-US" w:eastAsia="ko-KR"/>
              </w:rPr>
              <w:t xml:space="preserve">Specify other </w:t>
            </w:r>
            <w:r>
              <w:rPr>
                <w:rFonts w:eastAsia="Malgun Gothic"/>
                <w:highlight w:val="green"/>
                <w:lang w:val="en-US" w:eastAsia="ko-KR"/>
              </w:rPr>
              <w:t>RRM core requirements for SBFD operation</w:t>
            </w:r>
            <w:r>
              <w:rPr>
                <w:rFonts w:eastAsia="Malgun Gothic"/>
                <w:lang w:val="en-US" w:eastAsia="ko-KR"/>
              </w:rPr>
              <w:t>, if identified [RAN4]</w:t>
            </w:r>
          </w:p>
        </w:tc>
      </w:tr>
    </w:tbl>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We highlight the objectives relevant to RAN4 RRM session. For the 1</w:t>
      </w:r>
      <w:r>
        <w:rPr>
          <w:rFonts w:hint="eastAsia" w:cs="Arial"/>
          <w:vertAlign w:val="superscript"/>
          <w:lang w:val="en-US" w:eastAsia="zh-CN"/>
        </w:rPr>
        <w:t>st</w:t>
      </w:r>
      <w:r>
        <w:rPr>
          <w:rFonts w:hint="eastAsia" w:cs="Arial"/>
          <w:lang w:val="en-US" w:eastAsia="zh-CN"/>
        </w:rPr>
        <w:t xml:space="preserve"> RAN4 RRM aspects, it clearly shows that RAN4 should define the requirements for CLI measurement. Based on the investigation during SI phase and the RAN1 progress until RAN1#117 meeting in R19 phase, the CLI measurement contains UE-to-UE CLI and gNB-to-gNB CLI. The 2</w:t>
      </w:r>
      <w:r>
        <w:rPr>
          <w:rFonts w:hint="eastAsia" w:cs="Arial"/>
          <w:vertAlign w:val="superscript"/>
          <w:lang w:val="en-US" w:eastAsia="zh-CN"/>
        </w:rPr>
        <w:t>nd</w:t>
      </w:r>
      <w:r>
        <w:rPr>
          <w:rFonts w:hint="eastAsia" w:cs="Arial"/>
          <w:lang w:val="en-US" w:eastAsia="zh-CN"/>
        </w:rPr>
        <w:t xml:space="preserve"> RAN4 RRM task is general, all RRM aspects regarding the SBFD operation should be identified and concluded.</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this paper, we provide some of our initial views on the SBFD operation. Since comprehensive discussion has held in SI phase, so the progress of SI and RAN1 progress in R19 would be the basis of RRM discussion. We develop our discussion from the following aspects:</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Scenario discussion</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 xml:space="preserve">UE-to-UE CLI </w:t>
      </w:r>
    </w:p>
    <w:p>
      <w:pPr>
        <w:pStyle w:val="9"/>
        <w:keepNext w:val="0"/>
        <w:keepLines w:val="0"/>
        <w:pageBreakBefore w:val="0"/>
        <w:widowControl/>
        <w:numPr>
          <w:ilvl w:val="0"/>
          <w:numId w:val="5"/>
        </w:numPr>
        <w:kinsoku/>
        <w:wordWrap/>
        <w:overflowPunct/>
        <w:topLinePunct w:val="0"/>
        <w:autoSpaceDE/>
        <w:autoSpaceDN/>
        <w:bidi w:val="0"/>
        <w:adjustRightInd/>
        <w:snapToGrid/>
        <w:spacing w:before="120" w:after="0"/>
        <w:ind w:left="420" w:leftChars="0" w:hanging="420" w:firstLineChars="0"/>
        <w:textAlignment w:val="auto"/>
        <w:rPr>
          <w:rFonts w:hint="default" w:cs="Arial"/>
          <w:lang w:val="en-US" w:eastAsia="zh-CN"/>
        </w:rPr>
      </w:pPr>
      <w:r>
        <w:rPr>
          <w:rFonts w:hint="eastAsia" w:cs="Arial"/>
          <w:lang w:val="en-US" w:eastAsia="zh-CN"/>
        </w:rPr>
        <w:t xml:space="preserve">gNB-to-gNB CLI </w:t>
      </w:r>
    </w:p>
    <w:p>
      <w:pPr>
        <w:pStyle w:val="2"/>
        <w:keepNext w:val="0"/>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468" w:beforeLines="150" w:after="156" w:afterLines="50" w:line="300" w:lineRule="auto"/>
        <w:ind w:left="425" w:hanging="425"/>
        <w:jc w:val="both"/>
        <w:textAlignment w:val="baseline"/>
        <w:rPr>
          <w:rFonts w:eastAsia="宋体"/>
          <w:color w:val="auto"/>
          <w:lang w:eastAsia="zh-CN"/>
        </w:rPr>
      </w:pPr>
      <w:r>
        <w:rPr>
          <w:rFonts w:hint="eastAsia" w:eastAsia="宋体"/>
          <w:color w:val="auto"/>
          <w:lang w:eastAsia="zh-CN"/>
        </w:rPr>
        <w:t>Discussion</w:t>
      </w:r>
    </w:p>
    <w:p>
      <w:pPr>
        <w:pStyle w:val="3"/>
        <w:numPr>
          <w:ilvl w:val="0"/>
          <w:numId w:val="0"/>
        </w:numPr>
        <w:bidi w:val="0"/>
        <w:ind w:leftChars="0"/>
        <w:rPr>
          <w:rFonts w:hint="eastAsia"/>
          <w:lang w:val="en-US" w:eastAsia="zh-CN"/>
        </w:rPr>
      </w:pPr>
      <w:r>
        <w:rPr>
          <w:rFonts w:hint="eastAsia"/>
          <w:lang w:val="en-US" w:eastAsia="zh-CN"/>
        </w:rPr>
        <w:t>2.1 Scenario discussion</w:t>
      </w:r>
    </w:p>
    <w:p>
      <w:pPr>
        <w:pStyle w:val="9"/>
        <w:bidi w:val="0"/>
        <w:rPr>
          <w:rFonts w:hint="eastAsia"/>
          <w:lang w:val="en-US" w:eastAsia="zh-CN"/>
        </w:rPr>
      </w:pPr>
      <w:r>
        <w:rPr>
          <w:rFonts w:hint="eastAsia"/>
          <w:lang w:val="en-US" w:eastAsia="zh-CN"/>
        </w:rPr>
        <w:t>Based on the scope of R19 WI and the extensive investigation in SI[2], we can summarize some high level points regarding the applicable scenario of SBFD.</w:t>
      </w:r>
    </w:p>
    <w:p>
      <w:pPr>
        <w:pStyle w:val="9"/>
        <w:numPr>
          <w:ilvl w:val="0"/>
          <w:numId w:val="6"/>
        </w:numPr>
        <w:bidi w:val="0"/>
        <w:ind w:left="420" w:leftChars="0" w:hanging="420" w:firstLineChars="0"/>
        <w:rPr>
          <w:rFonts w:hint="default"/>
          <w:lang w:val="en-US" w:eastAsia="zh-CN"/>
        </w:rPr>
      </w:pPr>
      <w:r>
        <w:rPr>
          <w:rFonts w:hint="eastAsia"/>
          <w:lang w:val="en-US" w:eastAsia="zh-CN"/>
        </w:rPr>
        <w:t>The frequency and time resource of SBFD subband is semi-statically indicated to SBFD aware UE in CONNECTED mode, i.e. dynamic SBFD/TDD operation is not considered</w:t>
      </w:r>
    </w:p>
    <w:p>
      <w:pPr>
        <w:pStyle w:val="9"/>
        <w:numPr>
          <w:ilvl w:val="0"/>
          <w:numId w:val="6"/>
        </w:numPr>
        <w:bidi w:val="0"/>
        <w:ind w:left="420" w:leftChars="0" w:hanging="420" w:firstLineChars="0"/>
        <w:rPr>
          <w:rFonts w:hint="default"/>
          <w:lang w:val="en-US" w:eastAsia="zh-CN"/>
        </w:rPr>
      </w:pPr>
      <w:r>
        <w:rPr>
          <w:rFonts w:hint="eastAsia"/>
          <w:lang w:val="en-US" w:eastAsia="zh-CN"/>
        </w:rPr>
        <w:t>SBFD at gNB side, and half duplex operation at UE side</w:t>
      </w:r>
    </w:p>
    <w:p>
      <w:pPr>
        <w:pStyle w:val="9"/>
        <w:numPr>
          <w:ilvl w:val="0"/>
          <w:numId w:val="6"/>
        </w:numPr>
        <w:bidi w:val="0"/>
        <w:ind w:left="420" w:leftChars="0" w:hanging="420" w:firstLineChars="0"/>
        <w:rPr>
          <w:rFonts w:hint="default"/>
          <w:lang w:val="en-US" w:eastAsia="zh-CN"/>
        </w:rPr>
      </w:pPr>
      <w:r>
        <w:rPr>
          <w:rFonts w:hint="eastAsia"/>
          <w:lang w:val="en-US" w:eastAsia="zh-CN"/>
        </w:rPr>
        <w:t>Consider FR1 and FR2-1</w:t>
      </w:r>
    </w:p>
    <w:p>
      <w:pPr>
        <w:pStyle w:val="9"/>
        <w:numPr>
          <w:ilvl w:val="0"/>
          <w:numId w:val="6"/>
        </w:numPr>
        <w:bidi w:val="0"/>
        <w:ind w:left="420" w:leftChars="0" w:hanging="420" w:firstLineChars="0"/>
        <w:rPr>
          <w:rFonts w:hint="default"/>
          <w:lang w:val="en-US" w:eastAsia="zh-CN"/>
        </w:rPr>
      </w:pPr>
      <w:r>
        <w:rPr>
          <w:rFonts w:hint="default"/>
          <w:lang w:val="en-US" w:eastAsia="zh-CN"/>
        </w:rPr>
        <w:t xml:space="preserve">Coexistence between non-SBFD aware UEs and SBFD aware UEs in </w:t>
      </w:r>
      <w:r>
        <w:rPr>
          <w:rFonts w:hint="eastAsia"/>
          <w:lang w:val="en-US" w:eastAsia="zh-CN"/>
        </w:rPr>
        <w:t xml:space="preserve">a cell at </w:t>
      </w:r>
      <w:r>
        <w:rPr>
          <w:rFonts w:hint="default"/>
          <w:lang w:val="en-US" w:eastAsia="zh-CN"/>
        </w:rPr>
        <w:t>gNB side</w:t>
      </w:r>
    </w:p>
    <w:p>
      <w:pPr>
        <w:pStyle w:val="9"/>
        <w:numPr>
          <w:ilvl w:val="0"/>
          <w:numId w:val="6"/>
        </w:numPr>
        <w:bidi w:val="0"/>
        <w:ind w:left="420" w:leftChars="0" w:hanging="420" w:firstLineChars="0"/>
        <w:rPr>
          <w:rFonts w:hint="default"/>
          <w:lang w:val="en-US" w:eastAsia="zh-CN"/>
        </w:rPr>
      </w:pPr>
      <w:r>
        <w:rPr>
          <w:rFonts w:hint="default"/>
          <w:lang w:val="en-US" w:eastAsia="zh-CN"/>
        </w:rPr>
        <w:t>SBFD scheme within a single configured DL and UL BWP pair with aligned center frequencies</w:t>
      </w:r>
    </w:p>
    <w:p>
      <w:pPr>
        <w:pStyle w:val="9"/>
        <w:numPr>
          <w:ilvl w:val="0"/>
          <w:numId w:val="6"/>
        </w:numPr>
        <w:bidi w:val="0"/>
        <w:ind w:left="420" w:leftChars="0" w:hanging="420" w:firstLineChars="0"/>
        <w:rPr>
          <w:rFonts w:hint="default"/>
          <w:lang w:val="en-US" w:eastAsia="zh-CN"/>
        </w:rPr>
      </w:pPr>
      <w:r>
        <w:rPr>
          <w:rFonts w:hint="eastAsia"/>
          <w:lang w:val="en-US" w:eastAsia="zh-CN"/>
        </w:rPr>
        <w:t>The SBFD subband applicable to UL operation only locates in D or F symbol</w:t>
      </w:r>
    </w:p>
    <w:p>
      <w:pPr>
        <w:pStyle w:val="9"/>
        <w:numPr>
          <w:ilvl w:val="0"/>
          <w:numId w:val="6"/>
        </w:numPr>
        <w:bidi w:val="0"/>
        <w:ind w:left="420" w:leftChars="0" w:hanging="420" w:firstLineChars="0"/>
        <w:rPr>
          <w:rFonts w:hint="default"/>
          <w:lang w:val="en-US" w:eastAsia="zh-CN"/>
        </w:rPr>
      </w:pPr>
      <w:r>
        <w:rPr>
          <w:rFonts w:hint="eastAsia"/>
          <w:lang w:val="en-US" w:eastAsia="zh-CN"/>
        </w:rPr>
        <w:t>Includes both single-operator and two-operator applications</w:t>
      </w:r>
    </w:p>
    <w:p>
      <w:pPr>
        <w:pStyle w:val="9"/>
        <w:numPr>
          <w:ilvl w:val="0"/>
          <w:numId w:val="6"/>
        </w:numPr>
        <w:bidi w:val="0"/>
        <w:ind w:left="420" w:leftChars="0" w:hanging="420" w:firstLineChars="0"/>
        <w:rPr>
          <w:rFonts w:hint="default"/>
          <w:highlight w:val="none"/>
          <w:lang w:val="en-US" w:eastAsia="zh-CN"/>
        </w:rPr>
      </w:pPr>
      <w:r>
        <w:rPr>
          <w:rFonts w:hint="eastAsia"/>
          <w:highlight w:val="none"/>
          <w:lang w:val="en-US" w:eastAsia="zh-CN"/>
        </w:rPr>
        <w:t>Both macro and micro are considered, i.e. the homogeneous and heterogeneous network are considered</w:t>
      </w:r>
    </w:p>
    <w:p>
      <w:pPr>
        <w:pStyle w:val="9"/>
        <w:bidi w:val="0"/>
        <w:rPr>
          <w:rFonts w:hint="eastAsia"/>
          <w:b/>
          <w:bCs/>
          <w:lang w:val="en-US" w:eastAsia="zh-CN"/>
        </w:rPr>
      </w:pPr>
      <w:r>
        <w:rPr>
          <w:rFonts w:hint="eastAsia"/>
          <w:b/>
          <w:bCs/>
          <w:lang w:val="en-US" w:eastAsia="zh-CN"/>
        </w:rPr>
        <w:t>Observation 1: Some high level key points of the applicable scenario of R19 SBFD are listed as below:</w:t>
      </w:r>
    </w:p>
    <w:p>
      <w:pPr>
        <w:pStyle w:val="9"/>
        <w:numPr>
          <w:ilvl w:val="0"/>
          <w:numId w:val="6"/>
        </w:numPr>
        <w:bidi w:val="0"/>
        <w:ind w:left="420" w:leftChars="0" w:hanging="420" w:firstLineChars="0"/>
        <w:rPr>
          <w:rFonts w:hint="default"/>
          <w:b/>
          <w:bCs/>
          <w:lang w:val="en-US" w:eastAsia="zh-CN"/>
        </w:rPr>
      </w:pPr>
      <w:r>
        <w:rPr>
          <w:rFonts w:hint="eastAsia"/>
          <w:b/>
          <w:bCs/>
          <w:lang w:val="en-US" w:eastAsia="zh-CN"/>
        </w:rPr>
        <w:t>The frequency and time resource of SBFD subband is semi-statically indicated to SBFD aware UE in CONNECTED mode, i.e. dynamic SBFD/TDD operation is not considered</w:t>
      </w:r>
    </w:p>
    <w:p>
      <w:pPr>
        <w:pStyle w:val="9"/>
        <w:numPr>
          <w:ilvl w:val="0"/>
          <w:numId w:val="6"/>
        </w:numPr>
        <w:bidi w:val="0"/>
        <w:ind w:left="420" w:leftChars="0" w:hanging="420" w:firstLineChars="0"/>
        <w:rPr>
          <w:rFonts w:hint="default"/>
          <w:b/>
          <w:bCs/>
          <w:lang w:val="en-US" w:eastAsia="zh-CN"/>
        </w:rPr>
      </w:pPr>
      <w:r>
        <w:rPr>
          <w:rFonts w:hint="eastAsia"/>
          <w:b/>
          <w:bCs/>
          <w:lang w:val="en-US" w:eastAsia="zh-CN"/>
        </w:rPr>
        <w:t>SBFD at gNB side, and half duplex operation at UE side</w:t>
      </w:r>
    </w:p>
    <w:p>
      <w:pPr>
        <w:pStyle w:val="9"/>
        <w:numPr>
          <w:ilvl w:val="0"/>
          <w:numId w:val="6"/>
        </w:numPr>
        <w:bidi w:val="0"/>
        <w:ind w:left="420" w:leftChars="0" w:hanging="420" w:firstLineChars="0"/>
        <w:rPr>
          <w:rFonts w:hint="default"/>
          <w:b/>
          <w:bCs/>
          <w:lang w:val="en-US" w:eastAsia="zh-CN"/>
        </w:rPr>
      </w:pPr>
      <w:r>
        <w:rPr>
          <w:rFonts w:hint="eastAsia"/>
          <w:b/>
          <w:bCs/>
          <w:lang w:val="en-US" w:eastAsia="zh-CN"/>
        </w:rPr>
        <w:t>Consider FR1 and FR2-1</w:t>
      </w:r>
    </w:p>
    <w:p>
      <w:pPr>
        <w:pStyle w:val="9"/>
        <w:numPr>
          <w:ilvl w:val="0"/>
          <w:numId w:val="6"/>
        </w:numPr>
        <w:bidi w:val="0"/>
        <w:ind w:left="420" w:leftChars="0" w:hanging="420" w:firstLineChars="0"/>
        <w:rPr>
          <w:rFonts w:hint="default"/>
          <w:b/>
          <w:bCs/>
          <w:lang w:val="en-US" w:eastAsia="zh-CN"/>
        </w:rPr>
      </w:pPr>
      <w:r>
        <w:rPr>
          <w:rFonts w:hint="default"/>
          <w:b/>
          <w:bCs/>
          <w:lang w:val="en-US" w:eastAsia="zh-CN"/>
        </w:rPr>
        <w:t xml:space="preserve">Coexistence between non-SBFD aware UEs and SBFD aware UEs in </w:t>
      </w:r>
      <w:r>
        <w:rPr>
          <w:rFonts w:hint="eastAsia"/>
          <w:b/>
          <w:bCs/>
          <w:lang w:val="en-US" w:eastAsia="zh-CN"/>
        </w:rPr>
        <w:t xml:space="preserve">a cell at </w:t>
      </w:r>
      <w:r>
        <w:rPr>
          <w:rFonts w:hint="default"/>
          <w:b/>
          <w:bCs/>
          <w:lang w:val="en-US" w:eastAsia="zh-CN"/>
        </w:rPr>
        <w:t>gNB side</w:t>
      </w:r>
    </w:p>
    <w:p>
      <w:pPr>
        <w:pStyle w:val="9"/>
        <w:numPr>
          <w:ilvl w:val="0"/>
          <w:numId w:val="6"/>
        </w:numPr>
        <w:bidi w:val="0"/>
        <w:ind w:left="420" w:leftChars="0" w:hanging="420" w:firstLineChars="0"/>
        <w:rPr>
          <w:rFonts w:hint="default"/>
          <w:b/>
          <w:bCs/>
          <w:lang w:val="en-US" w:eastAsia="zh-CN"/>
        </w:rPr>
      </w:pPr>
      <w:r>
        <w:rPr>
          <w:rFonts w:hint="default"/>
          <w:b/>
          <w:bCs/>
          <w:lang w:val="en-US" w:eastAsia="zh-CN"/>
        </w:rPr>
        <w:t>SBFD scheme within a single configured DL and UL BWP pair with aligned center frequencies</w:t>
      </w:r>
    </w:p>
    <w:p>
      <w:pPr>
        <w:pStyle w:val="9"/>
        <w:numPr>
          <w:ilvl w:val="0"/>
          <w:numId w:val="6"/>
        </w:numPr>
        <w:bidi w:val="0"/>
        <w:ind w:left="420" w:leftChars="0" w:hanging="420" w:firstLineChars="0"/>
        <w:rPr>
          <w:rFonts w:hint="default"/>
          <w:b/>
          <w:bCs/>
          <w:lang w:val="en-US" w:eastAsia="zh-CN"/>
        </w:rPr>
      </w:pPr>
      <w:r>
        <w:rPr>
          <w:rFonts w:hint="eastAsia"/>
          <w:b/>
          <w:bCs/>
          <w:lang w:val="en-US" w:eastAsia="zh-CN"/>
        </w:rPr>
        <w:t>The SBFD subband applicable to UL operation only locates in D or F symbol</w:t>
      </w:r>
    </w:p>
    <w:p>
      <w:pPr>
        <w:pStyle w:val="9"/>
        <w:numPr>
          <w:ilvl w:val="0"/>
          <w:numId w:val="6"/>
        </w:numPr>
        <w:bidi w:val="0"/>
        <w:ind w:left="420" w:leftChars="0" w:hanging="420" w:firstLineChars="0"/>
        <w:rPr>
          <w:rFonts w:hint="default"/>
          <w:b/>
          <w:bCs/>
          <w:lang w:val="en-US" w:eastAsia="zh-CN"/>
        </w:rPr>
      </w:pPr>
      <w:r>
        <w:rPr>
          <w:rFonts w:hint="eastAsia"/>
          <w:b/>
          <w:bCs/>
          <w:lang w:val="en-US" w:eastAsia="zh-CN"/>
        </w:rPr>
        <w:t>Includes both single-operator and two-operator applications</w:t>
      </w:r>
    </w:p>
    <w:p>
      <w:pPr>
        <w:pStyle w:val="9"/>
        <w:numPr>
          <w:ilvl w:val="0"/>
          <w:numId w:val="6"/>
        </w:numPr>
        <w:bidi w:val="0"/>
        <w:ind w:left="420" w:leftChars="0" w:hanging="420" w:firstLineChars="0"/>
        <w:rPr>
          <w:rFonts w:hint="default"/>
          <w:b/>
          <w:bCs/>
          <w:highlight w:val="none"/>
          <w:lang w:val="en-US" w:eastAsia="zh-CN"/>
        </w:rPr>
      </w:pPr>
      <w:r>
        <w:rPr>
          <w:rFonts w:hint="eastAsia"/>
          <w:b/>
          <w:bCs/>
          <w:highlight w:val="none"/>
          <w:lang w:val="en-US" w:eastAsia="zh-CN"/>
        </w:rPr>
        <w:t>Both macro and micro are considered, i.e. the homogeneous and heterogeneous network are considered</w:t>
      </w:r>
    </w:p>
    <w:p>
      <w:pPr>
        <w:pStyle w:val="3"/>
        <w:numPr>
          <w:ilvl w:val="0"/>
          <w:numId w:val="0"/>
        </w:numPr>
        <w:bidi w:val="0"/>
        <w:ind w:leftChars="0"/>
        <w:rPr>
          <w:lang w:eastAsia="zh-CN"/>
        </w:rPr>
      </w:pPr>
      <w:r>
        <w:rPr>
          <w:rFonts w:hint="eastAsia"/>
          <w:lang w:val="en-US" w:eastAsia="zh-CN"/>
        </w:rPr>
        <w:t>2.2 UE-to-UE CLI</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b w:val="0"/>
          <w:bCs w:val="0"/>
          <w:u w:val="single"/>
          <w:lang w:val="en-US" w:eastAsia="zh-CN"/>
        </w:rPr>
      </w:pPr>
      <w:r>
        <w:rPr>
          <w:rFonts w:hint="eastAsia" w:cs="Arial"/>
          <w:b w:val="0"/>
          <w:bCs w:val="0"/>
          <w:u w:val="single"/>
          <w:lang w:val="en-US" w:eastAsia="zh-CN"/>
        </w:rPr>
        <w:t>Background of R16 CLI</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Before we diving into the discussion of R19 CLI, we can review the legacy R16 CLI measurement first. In legacy R16 CLI, only UE-to-UE CLI measurement was introduced to support dynamic TDD. Through performing the CLI-RSSI and/or SRS-RSRP measurement on the configured resource within active DL BWP, the potential victim UE can detect the interference to its DL Rx cased by the UL Tx of the aggressor UE. Both the SRS-RSRP and CLI-RSSI measurements are L3 measurement, L3 filtering allowed to the measurement results. RAN4 decided the measurement requirements and accuracy requirements for the two types of CLI resource.</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When identifying the accuracy of SRS-RSRP measurement, the side condition of timing offset between UE</w:t>
      </w:r>
      <w:r>
        <w:rPr>
          <w:rFonts w:hint="default" w:cs="Arial"/>
          <w:lang w:val="en-US" w:eastAsia="zh-CN"/>
        </w:rPr>
        <w:t>’</w:t>
      </w:r>
      <w:r>
        <w:rPr>
          <w:rFonts w:hint="eastAsia" w:cs="Arial"/>
          <w:lang w:val="en-US" w:eastAsia="zh-CN"/>
        </w:rPr>
        <w:t xml:space="preserve">s DL reference timing in the serving cell and SRS arrival time was decided as </w:t>
      </w:r>
      <w:r>
        <w:t>T</w:t>
      </w:r>
      <w:r>
        <w:rPr>
          <w:vertAlign w:val="subscript"/>
        </w:rPr>
        <w:t>error_SRS_RSRP</w:t>
      </w:r>
      <w:r>
        <w:rPr>
          <w:rFonts w:hint="eastAsia" w:cs="Arial"/>
          <w:lang w:val="en-US" w:eastAsia="zh-CN"/>
        </w:rPr>
        <w:t>, defined in clause 10.1.22.1 in [6].</w:t>
      </w:r>
    </w:p>
    <w:p>
      <w:pPr>
        <w:pStyle w:val="9"/>
        <w:keepNext w:val="0"/>
        <w:keepLines w:val="0"/>
        <w:pageBreakBefore w:val="0"/>
        <w:widowControl/>
        <w:kinsoku/>
        <w:wordWrap/>
        <w:overflowPunct/>
        <w:topLinePunct w:val="0"/>
        <w:autoSpaceDE/>
        <w:autoSpaceDN/>
        <w:bidi w:val="0"/>
        <w:adjustRightInd/>
        <w:snapToGrid/>
        <w:spacing w:before="120" w:after="0"/>
        <w:textAlignment w:val="auto"/>
        <w:rPr>
          <w:lang w:eastAsia="ko-KR"/>
        </w:rPr>
      </w:pPr>
      <w:r>
        <w:rPr>
          <w:rFonts w:hint="eastAsia" w:cs="Arial"/>
          <w:lang w:val="en-US" w:eastAsia="zh-CN"/>
        </w:rPr>
        <w:t xml:space="preserve">Since no QCL-type D info was configured for the CLI resource in FR2, so the beam assumption of CLI resource is defined in [6] as the </w:t>
      </w:r>
      <w:r>
        <w:rPr>
          <w:lang w:eastAsia="ko-KR"/>
        </w:rPr>
        <w:t>UE can assume the configured CLI measurement resources are QCL-ed with TypeD to one of the latest received PDSCH and the latest monitored CORESET.</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lang w:val="en-US" w:eastAsia="zh-CN"/>
        </w:rPr>
      </w:pP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 xml:space="preserve">In R19 SBFD, both UE-to-UE CLI and gNB-to-gNB CLI are allowed, as shows in Figure.1. </w:t>
      </w:r>
    </w:p>
    <w:p>
      <w:pPr>
        <w:numPr>
          <w:ilvl w:val="0"/>
          <w:numId w:val="0"/>
        </w:numPr>
        <w:tabs>
          <w:tab w:val="left" w:pos="420"/>
        </w:tabs>
        <w:ind w:leftChars="0"/>
        <w:jc w:val="center"/>
      </w:pPr>
      <w:r>
        <w:drawing>
          <wp:inline distT="0" distB="0" distL="114300" distR="114300">
            <wp:extent cx="3021965" cy="1917700"/>
            <wp:effectExtent l="0" t="0" r="1079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021965" cy="1917700"/>
                    </a:xfrm>
                    <a:prstGeom prst="rect">
                      <a:avLst/>
                    </a:prstGeom>
                    <a:noFill/>
                    <a:ln>
                      <a:noFill/>
                    </a:ln>
                  </pic:spPr>
                </pic:pic>
              </a:graphicData>
            </a:graphic>
          </wp:inline>
        </w:drawing>
      </w:r>
    </w:p>
    <w:p>
      <w:pPr>
        <w:numPr>
          <w:ilvl w:val="0"/>
          <w:numId w:val="0"/>
        </w:numPr>
        <w:tabs>
          <w:tab w:val="left" w:pos="420"/>
        </w:tabs>
        <w:ind w:leftChars="0"/>
        <w:jc w:val="center"/>
        <w:rPr>
          <w:rFonts w:hint="default" w:eastAsia="宋体"/>
          <w:lang w:val="en-US" w:eastAsia="zh-CN"/>
        </w:rPr>
      </w:pPr>
      <w:r>
        <w:rPr>
          <w:rFonts w:hint="eastAsia" w:eastAsia="宋体"/>
          <w:lang w:val="en-US" w:eastAsia="zh-CN"/>
        </w:rPr>
        <w:t>Figure 1. Both gNB-to-gNB CLI and UE-to-UE CLI</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In this clause, we focus on the UE-to-UE CLI.</w:t>
      </w:r>
    </w:p>
    <w:p>
      <w:pPr>
        <w:pStyle w:val="9"/>
        <w:keepNext w:val="0"/>
        <w:keepLines w:val="0"/>
        <w:pageBreakBefore w:val="0"/>
        <w:widowControl/>
        <w:kinsoku/>
        <w:wordWrap/>
        <w:overflowPunct/>
        <w:topLinePunct w:val="0"/>
        <w:autoSpaceDE/>
        <w:autoSpaceDN/>
        <w:bidi w:val="0"/>
        <w:adjustRightInd/>
        <w:snapToGrid/>
        <w:spacing w:before="120" w:after="0"/>
        <w:textAlignment w:val="auto"/>
        <w:rPr>
          <w:rFonts w:hint="default" w:cs="Arial"/>
          <w:lang w:val="en-US" w:eastAsia="zh-CN"/>
        </w:rPr>
      </w:pPr>
      <w:r>
        <w:rPr>
          <w:rFonts w:hint="eastAsia" w:cs="Arial"/>
          <w:lang w:val="en-US" w:eastAsia="zh-CN"/>
        </w:rPr>
        <w:t>Based on RAN1 progress until RAN1#117 meeting[3][4][5], the framework of UE-to-UE CLI is depicted from the following aspects.</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eastAsia" w:cs="Arial"/>
          <w:lang w:val="en-US" w:eastAsia="zh-CN"/>
        </w:rPr>
      </w:pPr>
      <w:r>
        <w:rPr>
          <w:rFonts w:hint="eastAsia" w:cs="Arial"/>
          <w:lang w:val="en-US" w:eastAsia="zh-CN"/>
        </w:rPr>
        <w:t>Measurement type</w:t>
      </w:r>
    </w:p>
    <w:p>
      <w:pPr>
        <w:pStyle w:val="9"/>
        <w:keepNext w:val="0"/>
        <w:keepLines w:val="0"/>
        <w:pageBreakBefore w:val="0"/>
        <w:widowControl/>
        <w:numPr>
          <w:ilvl w:val="0"/>
          <w:numId w:val="7"/>
        </w:numPr>
        <w:kinsoku/>
        <w:wordWrap/>
        <w:overflowPunct/>
        <w:topLinePunct w:val="0"/>
        <w:autoSpaceDE/>
        <w:autoSpaceDN/>
        <w:bidi w:val="0"/>
        <w:adjustRightInd/>
        <w:snapToGrid/>
        <w:spacing w:before="120" w:after="0"/>
        <w:ind w:left="840" w:leftChars="0" w:hanging="420" w:firstLineChars="0"/>
        <w:textAlignment w:val="auto"/>
        <w:rPr>
          <w:rFonts w:hint="eastAsia" w:cs="Arial"/>
          <w:lang w:val="en-US" w:eastAsia="zh-CN"/>
        </w:rPr>
      </w:pPr>
      <w:r>
        <w:rPr>
          <w:rFonts w:hint="eastAsia" w:cs="Arial"/>
          <w:lang w:val="en-US" w:eastAsia="zh-CN"/>
        </w:rPr>
        <w:t>The UE-to-UE CLI is L1 measurement, no longer L3 measurement, which is distinguished from legacy R16 CLI;</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eastAsia" w:cs="Arial"/>
          <w:lang w:val="en-US" w:eastAsia="zh-CN"/>
        </w:rPr>
      </w:pPr>
      <w:r>
        <w:rPr>
          <w:rFonts w:hint="eastAsia" w:cs="Arial"/>
          <w:lang w:val="en-US" w:eastAsia="zh-CN"/>
        </w:rPr>
        <w:t>Measurement resource</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840" w:leftChars="0" w:hanging="420" w:firstLineChars="0"/>
        <w:textAlignment w:val="auto"/>
        <w:rPr>
          <w:rFonts w:hint="default" w:cs="Arial"/>
          <w:lang w:val="en-US" w:eastAsia="zh-CN"/>
        </w:rPr>
      </w:pPr>
      <w:r>
        <w:rPr>
          <w:rFonts w:hint="eastAsia" w:cs="Arial"/>
          <w:lang w:val="en-US" w:eastAsia="zh-CN"/>
        </w:rPr>
        <w:t>The UE-to-UE CLI also contains SRS-RSRP measurement and CLI-RSSI measurement. The measurement resource could be periodic, semi-persistent or aperiodic resource (set). The SRS-RSRP measurement resource is based on the legacy RS pattern, no new pattern introduced.</w:t>
      </w:r>
    </w:p>
    <w:p>
      <w:pPr>
        <w:pStyle w:val="9"/>
        <w:keepNext w:val="0"/>
        <w:keepLines w:val="0"/>
        <w:pageBreakBefore w:val="0"/>
        <w:widowControl/>
        <w:numPr>
          <w:ilvl w:val="0"/>
          <w:numId w:val="8"/>
        </w:numPr>
        <w:kinsoku/>
        <w:wordWrap/>
        <w:overflowPunct/>
        <w:topLinePunct w:val="0"/>
        <w:autoSpaceDE/>
        <w:autoSpaceDN/>
        <w:bidi w:val="0"/>
        <w:adjustRightInd/>
        <w:snapToGrid/>
        <w:spacing w:before="120" w:after="0"/>
        <w:ind w:left="840" w:leftChars="0" w:hanging="420" w:firstLineChars="0"/>
        <w:textAlignment w:val="auto"/>
        <w:rPr>
          <w:rFonts w:hint="default" w:cs="Arial"/>
          <w:lang w:val="en-US" w:eastAsia="zh-CN"/>
        </w:rPr>
      </w:pPr>
      <w:r>
        <w:rPr>
          <w:rFonts w:hint="eastAsia" w:cs="Arial"/>
          <w:lang w:val="en-US" w:eastAsia="zh-CN"/>
        </w:rPr>
        <w:t>How to determine the QCL typeD assumption of the CLI resource, still FFS.</w:t>
      </w:r>
    </w:p>
    <w:p>
      <w:pPr>
        <w:pStyle w:val="9"/>
        <w:keepNext w:val="0"/>
        <w:keepLines w:val="0"/>
        <w:pageBreakBefore w:val="0"/>
        <w:widowControl/>
        <w:numPr>
          <w:ilvl w:val="0"/>
          <w:numId w:val="6"/>
        </w:numPr>
        <w:kinsoku/>
        <w:wordWrap/>
        <w:overflowPunct/>
        <w:topLinePunct w:val="0"/>
        <w:autoSpaceDE/>
        <w:autoSpaceDN/>
        <w:bidi w:val="0"/>
        <w:adjustRightInd/>
        <w:snapToGrid/>
        <w:spacing w:before="120" w:after="0"/>
        <w:ind w:left="420" w:leftChars="0" w:hanging="420" w:firstLineChars="0"/>
        <w:textAlignment w:val="auto"/>
        <w:rPr>
          <w:rFonts w:hint="eastAsia" w:cs="Arial"/>
          <w:lang w:val="en-US" w:eastAsia="zh-CN"/>
        </w:rPr>
      </w:pPr>
      <w:r>
        <w:rPr>
          <w:rFonts w:hint="eastAsia" w:cs="Arial"/>
          <w:lang w:val="en-US" w:eastAsia="zh-CN"/>
        </w:rPr>
        <w:t>Measurement reporting</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840" w:leftChars="0" w:hanging="420" w:firstLineChars="0"/>
        <w:textAlignment w:val="auto"/>
        <w:rPr>
          <w:rFonts w:hint="default" w:cs="Arial"/>
          <w:lang w:val="en-US" w:eastAsia="zh-CN"/>
        </w:rPr>
      </w:pPr>
      <w:r>
        <w:rPr>
          <w:rFonts w:hint="default" w:cs="Arial"/>
          <w:lang w:val="en-US" w:eastAsia="zh-CN"/>
        </w:rPr>
        <w:t>At least aperiodic reporting</w:t>
      </w:r>
      <w:r>
        <w:rPr>
          <w:rFonts w:hint="eastAsia" w:cs="Arial"/>
          <w:lang w:val="en-US" w:eastAsia="zh-CN"/>
        </w:rPr>
        <w:t xml:space="preserve"> supported.</w:t>
      </w:r>
    </w:p>
    <w:p>
      <w:pPr>
        <w:pStyle w:val="9"/>
        <w:keepNext w:val="0"/>
        <w:keepLines w:val="0"/>
        <w:pageBreakBefore w:val="0"/>
        <w:widowControl/>
        <w:numPr>
          <w:ilvl w:val="0"/>
          <w:numId w:val="9"/>
        </w:numPr>
        <w:kinsoku/>
        <w:wordWrap/>
        <w:overflowPunct/>
        <w:topLinePunct w:val="0"/>
        <w:autoSpaceDE/>
        <w:autoSpaceDN/>
        <w:bidi w:val="0"/>
        <w:adjustRightInd/>
        <w:snapToGrid/>
        <w:spacing w:before="120" w:after="0"/>
        <w:ind w:left="840" w:leftChars="0" w:hanging="420" w:firstLineChars="0"/>
        <w:textAlignment w:val="auto"/>
        <w:rPr>
          <w:rFonts w:hint="default" w:cs="Arial"/>
          <w:lang w:val="en-US" w:eastAsia="zh-CN"/>
        </w:rPr>
      </w:pPr>
      <w:r>
        <w:rPr>
          <w:rFonts w:hint="eastAsia" w:cs="Arial"/>
          <w:lang w:val="en-US" w:eastAsia="zh-CN"/>
        </w:rPr>
        <w:t>The report quantities includes: L1-SRS-RSRP, L1-CLI-RSSI and/or measurement resource indices.</w:t>
      </w:r>
    </w:p>
    <w:p>
      <w:pPr>
        <w:pStyle w:val="9"/>
        <w:bidi w:val="0"/>
        <w:rPr>
          <w:rFonts w:hint="eastAsia"/>
          <w:b/>
          <w:bCs/>
          <w:lang w:val="en-US" w:eastAsia="zh-CN"/>
        </w:rPr>
      </w:pPr>
      <w:r>
        <w:rPr>
          <w:rFonts w:hint="eastAsia"/>
          <w:b/>
          <w:bCs/>
          <w:lang w:val="en-US" w:eastAsia="zh-CN"/>
        </w:rPr>
        <w:t xml:space="preserve">Observation 2: The R19 UE-to-UE CLI measurement is determined as L1 measurement, both SRS-RSRP measurement and CLI-RSSI measurement are allowed, the resource can be configured as periodic, semi-persistent, or aperiodic resource. At least aperiodic reporting supported. </w:t>
      </w:r>
    </w:p>
    <w:p>
      <w:pPr>
        <w:pStyle w:val="9"/>
        <w:bidi w:val="0"/>
        <w:rPr>
          <w:rFonts w:hint="default"/>
          <w:b/>
          <w:bCs/>
          <w:lang w:val="en-US" w:eastAsia="zh-CN"/>
        </w:rPr>
      </w:pPr>
      <w:r>
        <w:rPr>
          <w:rFonts w:hint="eastAsia"/>
          <w:b/>
          <w:bCs/>
          <w:lang w:val="en-US" w:eastAsia="zh-CN"/>
        </w:rPr>
        <w:t>Observation 3: How to determine the QCL typeD assumption of the CLI resource, still FFS.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lang w:val="en-US" w:eastAsia="zh-CN"/>
        </w:rPr>
      </w:pPr>
      <w:r>
        <w:rPr>
          <w:rFonts w:hint="eastAsia" w:cs="Arial"/>
          <w:lang w:val="en-US" w:eastAsia="zh-CN"/>
        </w:rPr>
        <w:t>From RAN4 perspective, we analysis the UE-to-UE CLI from the following the following aspects:</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textAlignment w:val="auto"/>
        <w:rPr>
          <w:rFonts w:hint="default" w:cs="Arial"/>
          <w:lang w:val="en-US" w:eastAsia="zh-CN"/>
        </w:rPr>
      </w:pPr>
      <w:r>
        <w:rPr>
          <w:rFonts w:hint="default" w:cs="Arial"/>
          <w:lang w:val="en-US" w:eastAsia="zh-CN"/>
        </w:rPr>
        <w:t>Measurement period requirements</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default" w:cs="Arial"/>
          <w:lang w:val="en-US" w:eastAsia="zh-CN"/>
        </w:rPr>
        <w:t xml:space="preserve">Accuracy requirements </w:t>
      </w:r>
    </w:p>
    <w:p>
      <w:pPr>
        <w:pStyle w:val="9"/>
        <w:keepNext w:val="0"/>
        <w:keepLines w:val="0"/>
        <w:pageBreakBefore w:val="0"/>
        <w:widowControl/>
        <w:numPr>
          <w:ilvl w:val="0"/>
          <w:numId w:val="10"/>
        </w:numPr>
        <w:kinsoku/>
        <w:wordWrap/>
        <w:overflowPunct/>
        <w:topLinePunct w:val="0"/>
        <w:autoSpaceDE/>
        <w:autoSpaceDN/>
        <w:bidi w:val="0"/>
        <w:adjustRightInd/>
        <w:snapToGrid/>
        <w:spacing w:before="120" w:after="0"/>
        <w:ind w:left="0" w:leftChars="0" w:firstLine="0" w:firstLineChars="0"/>
        <w:textAlignment w:val="auto"/>
        <w:rPr>
          <w:rFonts w:hint="default" w:cs="Arial"/>
          <w:lang w:val="en-US" w:eastAsia="zh-CN"/>
        </w:rPr>
      </w:pPr>
      <w:r>
        <w:rPr>
          <w:rFonts w:hint="eastAsia" w:cs="Arial"/>
          <w:lang w:val="en-US" w:eastAsia="zh-CN"/>
        </w:rPr>
        <w:t xml:space="preserve">Side condition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textAlignment w:val="auto"/>
        <w:rPr>
          <w:rFonts w:hint="eastAsia" w:cs="Arial"/>
          <w:b w:val="0"/>
          <w:bCs w:val="0"/>
          <w:u w:val="single"/>
          <w:lang w:val="en-US" w:eastAsia="zh-CN"/>
        </w:rPr>
      </w:pPr>
      <w:r>
        <w:rPr>
          <w:rFonts w:hint="eastAsia" w:cs="Arial"/>
          <w:b w:val="0"/>
          <w:bCs w:val="0"/>
          <w:u w:val="single"/>
          <w:lang w:val="en-US" w:eastAsia="zh-CN"/>
        </w:rPr>
        <w:t>Measurement period requirements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For UE-to-UE CLI measurement, currently there are 4 methods are on the table: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b/>
                <w:sz w:val="18"/>
                <w:szCs w:val="18"/>
                <w:highlight w:val="green"/>
              </w:rPr>
            </w:pPr>
            <w:r>
              <w:rPr>
                <w:b/>
                <w:sz w:val="18"/>
                <w:szCs w:val="18"/>
                <w:highlight w:val="green"/>
              </w:rPr>
              <w:t>Agreement</w:t>
            </w:r>
          </w:p>
          <w:p>
            <w:pPr>
              <w:tabs>
                <w:tab w:val="left" w:pos="0"/>
              </w:tabs>
              <w:contextualSpacing/>
              <w:rPr>
                <w:rFonts w:hint="default" w:eastAsia="宋体"/>
                <w:sz w:val="18"/>
                <w:szCs w:val="18"/>
                <w:lang w:val="en-US" w:eastAsia="zh-CN"/>
              </w:rPr>
            </w:pPr>
            <w:r>
              <w:rPr>
                <w:rFonts w:eastAsia="宋体"/>
                <w:sz w:val="18"/>
                <w:szCs w:val="18"/>
              </w:rPr>
              <w:t xml:space="preserve">For SBFD aware UEs, CLI measurements is performed within the active DL BWP and the </w:t>
            </w:r>
            <w:r>
              <w:rPr>
                <w:sz w:val="18"/>
                <w:szCs w:val="18"/>
              </w:rPr>
              <w:t>following can be considered</w:t>
            </w:r>
            <w:r>
              <w:rPr>
                <w:rFonts w:hint="eastAsia"/>
                <w:sz w:val="18"/>
                <w:szCs w:val="18"/>
                <w:lang w:val="en-US" w:eastAsia="zh-CN"/>
              </w:rPr>
              <w:t xml:space="preserve"> </w:t>
            </w:r>
          </w:p>
          <w:p>
            <w:pPr>
              <w:pStyle w:val="29"/>
              <w:widowControl w:val="0"/>
              <w:numPr>
                <w:ilvl w:val="0"/>
                <w:numId w:val="11"/>
              </w:numPr>
              <w:suppressAutoHyphens/>
              <w:snapToGrid w:val="0"/>
              <w:rPr>
                <w:sz w:val="18"/>
                <w:szCs w:val="18"/>
              </w:rPr>
            </w:pPr>
            <w:r>
              <w:rPr>
                <w:sz w:val="18"/>
                <w:szCs w:val="18"/>
              </w:rPr>
              <w:t>Method#1: UE measures RSSI within DL subband</w:t>
            </w:r>
          </w:p>
          <w:p>
            <w:pPr>
              <w:pStyle w:val="29"/>
              <w:widowControl w:val="0"/>
              <w:numPr>
                <w:ilvl w:val="0"/>
                <w:numId w:val="11"/>
              </w:numPr>
              <w:suppressAutoHyphens/>
              <w:snapToGrid w:val="0"/>
              <w:rPr>
                <w:sz w:val="18"/>
                <w:szCs w:val="18"/>
              </w:rPr>
            </w:pPr>
            <w:r>
              <w:rPr>
                <w:sz w:val="18"/>
                <w:szCs w:val="18"/>
              </w:rPr>
              <w:t>Method#2: UE measures RSRP of aggressor UE within UL subband</w:t>
            </w:r>
          </w:p>
          <w:p>
            <w:pPr>
              <w:pStyle w:val="29"/>
              <w:widowControl w:val="0"/>
              <w:numPr>
                <w:ilvl w:val="0"/>
                <w:numId w:val="11"/>
              </w:numPr>
              <w:suppressAutoHyphens/>
              <w:snapToGrid w:val="0"/>
              <w:rPr>
                <w:sz w:val="18"/>
                <w:szCs w:val="18"/>
              </w:rPr>
            </w:pPr>
            <w:r>
              <w:rPr>
                <w:sz w:val="18"/>
                <w:szCs w:val="18"/>
              </w:rPr>
              <w:t>Method#3: UE measures RSSI within UL subband</w:t>
            </w:r>
          </w:p>
          <w:p>
            <w:pPr>
              <w:pStyle w:val="29"/>
              <w:widowControl w:val="0"/>
              <w:numPr>
                <w:ilvl w:val="0"/>
                <w:numId w:val="11"/>
              </w:numPr>
              <w:suppressAutoHyphens/>
              <w:snapToGrid w:val="0"/>
              <w:rPr>
                <w:sz w:val="18"/>
                <w:szCs w:val="18"/>
              </w:rPr>
            </w:pPr>
            <w:r>
              <w:rPr>
                <w:sz w:val="18"/>
                <w:szCs w:val="18"/>
              </w:rPr>
              <w:t>Method#4: UE measures RSSI within guard band, if guard band exists</w:t>
            </w:r>
            <w:r>
              <w:rPr>
                <w:rFonts w:hint="eastAsia"/>
                <w:sz w:val="18"/>
                <w:szCs w:val="18"/>
                <w:lang w:val="en-US" w:eastAsia="zh-CN"/>
              </w:rPr>
              <w:t xml:space="preserve"> </w:t>
            </w:r>
          </w:p>
          <w:p>
            <w:pPr>
              <w:rPr>
                <w:sz w:val="18"/>
                <w:szCs w:val="18"/>
              </w:rPr>
            </w:pPr>
            <w:r>
              <w:rPr>
                <w:rFonts w:hint="eastAsia"/>
                <w:sz w:val="18"/>
                <w:szCs w:val="18"/>
              </w:rPr>
              <w:t>N</w:t>
            </w:r>
            <w:r>
              <w:rPr>
                <w:sz w:val="18"/>
                <w:szCs w:val="18"/>
              </w:rPr>
              <w:t>ote: If DL subband, UL subband or guard band is outside the active DL BWP, the above methods does not apply.</w:t>
            </w:r>
          </w:p>
          <w:p>
            <w:pPr>
              <w:rPr>
                <w:rFonts w:hint="default" w:cs="Arial"/>
                <w:vertAlign w:val="baseline"/>
                <w:lang w:val="en-US" w:eastAsia="zh-CN"/>
              </w:rPr>
            </w:pPr>
            <w:r>
              <w:rPr>
                <w:rFonts w:hint="eastAsia"/>
                <w:sz w:val="18"/>
                <w:szCs w:val="18"/>
              </w:rPr>
              <w:t>N</w:t>
            </w:r>
            <w:r>
              <w:rPr>
                <w:sz w:val="18"/>
                <w:szCs w:val="18"/>
              </w:rPr>
              <w:t xml:space="preserve">ote: Method#4 </w:t>
            </w:r>
            <w:r>
              <w:rPr>
                <w:rFonts w:hint="eastAsia"/>
                <w:sz w:val="18"/>
                <w:szCs w:val="18"/>
              </w:rPr>
              <w:t>does</w:t>
            </w:r>
            <w:r>
              <w:rPr>
                <w:sz w:val="18"/>
                <w:szCs w:val="18"/>
              </w:rPr>
              <w:t xml:space="preserve"> not imply that guard band is explicitly configured.</w:t>
            </w:r>
          </w:p>
        </w:tc>
      </w:tr>
    </w:tbl>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Within the 4 methods, only Method#1 is direct measurement, by which the victim UE can directly detect the RSSI in the DL subband, the interference to the UE Rx in DL subband can be inferred. The other three are all indirect measurement, victim UE senses the RSRP/RSSI of the UL subband/guard band so as to estimate the interference leakage to the Rx operation on the DL subband. We believe the measurement period requirements under different methods should be discussed one by one.</w:t>
      </w:r>
    </w:p>
    <w:p>
      <w:pPr>
        <w:pStyle w:val="9"/>
        <w:bidi w:val="0"/>
        <w:rPr>
          <w:rFonts w:hint="default"/>
          <w:b/>
          <w:bCs/>
          <w:lang w:val="en-US" w:eastAsia="zh-CN"/>
        </w:rPr>
      </w:pPr>
      <w:r>
        <w:rPr>
          <w:rFonts w:hint="eastAsia"/>
          <w:b/>
          <w:bCs/>
          <w:lang w:val="en-US" w:eastAsia="zh-CN"/>
        </w:rPr>
        <w:t>Observation 4: Four types of UE-to-UE CLI measurements are on the table, including both direct measurement on DL subband and indirect measurement on UL subband/guard band.</w:t>
      </w:r>
    </w:p>
    <w:p>
      <w:pPr>
        <w:pStyle w:val="9"/>
        <w:bidi w:val="0"/>
        <w:rPr>
          <w:rFonts w:hint="default"/>
          <w:b/>
          <w:bCs/>
          <w:lang w:val="en-US" w:eastAsia="zh-CN"/>
        </w:rPr>
      </w:pPr>
      <w:r>
        <w:rPr>
          <w:rFonts w:hint="eastAsia"/>
          <w:b/>
          <w:bCs/>
          <w:lang w:val="en-US" w:eastAsia="zh-CN"/>
        </w:rPr>
        <w:t>Proposal 1: The measurement period requirements for the four candidate UE-to-UE CLI measurements should be discussed one by one.</w:t>
      </w:r>
    </w:p>
    <w:p>
      <w:pPr>
        <w:pStyle w:val="29"/>
        <w:widowControl w:val="0"/>
        <w:numPr>
          <w:ilvl w:val="0"/>
          <w:numId w:val="0"/>
        </w:numPr>
        <w:suppressAutoHyphens/>
        <w:snapToGrid w:val="0"/>
        <w:ind w:leftChars="0"/>
        <w:rPr>
          <w:rFonts w:hint="eastAsia"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For Method#1: UE measures RSSI within DL subband</w:t>
      </w:r>
    </w:p>
    <w:p>
      <w:pPr>
        <w:numPr>
          <w:ilvl w:val="0"/>
          <w:numId w:val="12"/>
        </w:numPr>
        <w:ind w:left="840" w:leftChars="0" w:hanging="420" w:firstLineChars="0"/>
        <w:rPr>
          <w:rFonts w:hint="default"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Configure RSSI resource in DL subband.</w:t>
      </w:r>
    </w:p>
    <w:p>
      <w:pPr>
        <w:numPr>
          <w:ilvl w:val="0"/>
          <w:numId w:val="12"/>
        </w:numPr>
        <w:ind w:left="840" w:leftChars="0" w:hanging="420" w:firstLineChars="0"/>
        <w:rPr>
          <w:rFonts w:hint="default"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The measurement period requirements can reuse legacy CLI-RSSI, i.e. one-shot measurement.</w:t>
      </w:r>
    </w:p>
    <w:p>
      <w:pPr>
        <w:numPr>
          <w:ilvl w:val="0"/>
          <w:numId w:val="0"/>
        </w:numPr>
        <w:ind w:leftChars="0"/>
        <w:rPr>
          <w:rFonts w:hint="default"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For Method#2: UE measures RSRP of aggressor UE within UL subband</w:t>
      </w:r>
    </w:p>
    <w:p>
      <w:pPr>
        <w:numPr>
          <w:ilvl w:val="0"/>
          <w:numId w:val="12"/>
        </w:numPr>
        <w:ind w:left="840" w:leftChars="0" w:hanging="420" w:firstLineChars="0"/>
        <w:rPr>
          <w:rFonts w:hint="eastAsia"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Configure SRS-RSRP resource in UL subband.</w:t>
      </w:r>
    </w:p>
    <w:p>
      <w:pPr>
        <w:numPr>
          <w:ilvl w:val="0"/>
          <w:numId w:val="12"/>
        </w:numPr>
        <w:ind w:left="840" w:leftChars="0" w:hanging="420" w:firstLineChars="0"/>
        <w:rPr>
          <w:rFonts w:hint="eastAsia"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L1 measurement, so 1 or 3 samples, need to evaluate the accuracy performance</w:t>
      </w:r>
    </w:p>
    <w:p>
      <w:pPr>
        <w:numPr>
          <w:ilvl w:val="0"/>
          <w:numId w:val="0"/>
        </w:numPr>
        <w:ind w:leftChars="0"/>
        <w:rPr>
          <w:rFonts w:hint="default"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For Method#3: UE measures RSSI within UL subband</w:t>
      </w:r>
    </w:p>
    <w:p>
      <w:pPr>
        <w:numPr>
          <w:ilvl w:val="0"/>
          <w:numId w:val="12"/>
        </w:numPr>
        <w:ind w:left="840" w:leftChars="0" w:hanging="420" w:firstLineChars="0"/>
        <w:rPr>
          <w:rFonts w:hint="default"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Configure RSSI resource in UL subband.</w:t>
      </w:r>
    </w:p>
    <w:p>
      <w:pPr>
        <w:numPr>
          <w:ilvl w:val="0"/>
          <w:numId w:val="12"/>
        </w:numPr>
        <w:ind w:left="840" w:leftChars="0" w:hanging="420" w:firstLineChars="0"/>
        <w:rPr>
          <w:rFonts w:hint="default"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The measurement period requirements can reuse legacy CLI-RSSI, i.e. one-shot measurement.</w:t>
      </w:r>
    </w:p>
    <w:p>
      <w:pPr>
        <w:numPr>
          <w:ilvl w:val="0"/>
          <w:numId w:val="12"/>
        </w:numPr>
        <w:ind w:left="840" w:leftChars="0" w:hanging="420" w:firstLineChars="0"/>
        <w:rPr>
          <w:rFonts w:hint="default"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UE needs post-operation based on this measurement result, to estimate the interference leakage at the DL subband. Whether to specify this post-operation at UE side?</w:t>
      </w:r>
    </w:p>
    <w:p>
      <w:pPr>
        <w:numPr>
          <w:ilvl w:val="0"/>
          <w:numId w:val="0"/>
        </w:numPr>
        <w:ind w:leftChars="0"/>
        <w:rPr>
          <w:rFonts w:hint="default"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For Method#4: UE measures RSSI within guard band, if guard band exists</w:t>
      </w:r>
    </w:p>
    <w:p>
      <w:pPr>
        <w:numPr>
          <w:ilvl w:val="0"/>
          <w:numId w:val="12"/>
        </w:numPr>
        <w:ind w:left="840" w:leftChars="0" w:hanging="420" w:firstLineChars="0"/>
        <w:rPr>
          <w:rFonts w:hint="default" w:ascii="Arial" w:hAnsi="Arial" w:eastAsia="MS Mincho" w:cs="Arial"/>
          <w:kern w:val="0"/>
          <w:sz w:val="20"/>
          <w:szCs w:val="24"/>
          <w:lang w:val="en-US" w:eastAsia="zh-CN" w:bidi="ar-SA"/>
        </w:rPr>
      </w:pPr>
      <w:r>
        <w:rPr>
          <w:rFonts w:hint="eastAsia" w:ascii="Arial" w:hAnsi="Arial" w:eastAsia="MS Mincho" w:cs="Arial"/>
          <w:kern w:val="0"/>
          <w:sz w:val="20"/>
          <w:szCs w:val="24"/>
          <w:lang w:val="en-US" w:eastAsia="zh-CN" w:bidi="ar-SA"/>
        </w:rPr>
        <w:t>Configure RSSI resource in guard band.</w:t>
      </w:r>
    </w:p>
    <w:p>
      <w:pPr>
        <w:numPr>
          <w:ilvl w:val="0"/>
          <w:numId w:val="12"/>
        </w:numPr>
        <w:ind w:left="840" w:leftChars="0" w:hanging="420" w:firstLineChars="0"/>
        <w:rPr>
          <w:rFonts w:hint="default" w:cs="Arial"/>
          <w:lang w:val="en-US" w:eastAsia="zh-CN"/>
        </w:rPr>
      </w:pPr>
      <w:r>
        <w:rPr>
          <w:rFonts w:hint="eastAsia" w:ascii="Arial" w:hAnsi="Arial" w:eastAsia="MS Mincho" w:cs="Arial"/>
          <w:kern w:val="0"/>
          <w:sz w:val="20"/>
          <w:szCs w:val="24"/>
          <w:lang w:val="en-US" w:eastAsia="zh-CN" w:bidi="ar-SA"/>
        </w:rPr>
        <w:t>Similar as Method#3.</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b w:val="0"/>
          <w:bCs w:val="0"/>
          <w:u w:val="single"/>
          <w:lang w:val="en-US" w:eastAsia="zh-CN"/>
        </w:rPr>
      </w:pPr>
      <w:r>
        <w:rPr>
          <w:rFonts w:hint="eastAsia" w:cs="Arial"/>
          <w:b w:val="0"/>
          <w:bCs w:val="0"/>
          <w:u w:val="single"/>
          <w:lang w:val="en-US" w:eastAsia="zh-CN"/>
        </w:rPr>
        <w:t>Accuracy requirements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lang w:val="en-US" w:eastAsia="zh-CN"/>
        </w:rPr>
      </w:pPr>
      <w:r>
        <w:rPr>
          <w:rFonts w:hint="eastAsia" w:cs="Arial"/>
          <w:lang w:val="en-US" w:eastAsia="zh-CN"/>
        </w:rPr>
        <w:t>After the requirements of measurement period identified, than RAN4 can determine the accuracy requirements. Since the R19 UE-to-UE CLI is no longer L3 measurement, so the legacy UE-to-UE CLI accuracy requirements can not be reused directly. Some adaptation to facilitate L1 measurement should be considered.</w:t>
      </w:r>
    </w:p>
    <w:p>
      <w:pPr>
        <w:pStyle w:val="9"/>
        <w:bidi w:val="0"/>
        <w:rPr>
          <w:rFonts w:hint="default" w:cs="Arial"/>
          <w:lang w:val="en-US" w:eastAsia="zh-CN"/>
        </w:rPr>
      </w:pPr>
      <w:r>
        <w:rPr>
          <w:rFonts w:hint="eastAsia"/>
          <w:b/>
          <w:bCs/>
          <w:lang w:val="en-US" w:eastAsia="zh-CN"/>
        </w:rPr>
        <w:t>Proposal 2: The R19 UE-to-UE CLI is L1 measurement, instead of L3 measurement, so the legacy UE-to-UE CLI accuracy requirements can not be reused directly. Some adaptation to facilitate L1 measurement should be considered.</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b w:val="0"/>
          <w:bCs w:val="0"/>
          <w:u w:val="single"/>
          <w:lang w:val="en-US" w:eastAsia="zh-CN"/>
        </w:rPr>
        <w:t>Side condition</w:t>
      </w:r>
    </w:p>
    <w:p>
      <w:pPr>
        <w:numPr>
          <w:ilvl w:val="0"/>
          <w:numId w:val="0"/>
        </w:numPr>
        <w:rPr>
          <w:rFonts w:hint="eastAsia"/>
          <w:lang w:val="en-US" w:eastAsia="zh-CN"/>
        </w:rPr>
      </w:pPr>
      <w:r>
        <w:rPr>
          <w:rFonts w:hint="eastAsia"/>
          <w:lang w:val="en-US" w:eastAsia="zh-CN"/>
        </w:rPr>
        <w:t xml:space="preserve">For Method#2, we believe the following side conditions are need to considered: </w:t>
      </w:r>
    </w:p>
    <w:p>
      <w:pPr>
        <w:numPr>
          <w:ilvl w:val="0"/>
          <w:numId w:val="12"/>
        </w:numPr>
        <w:ind w:left="840" w:leftChars="0" w:hanging="420" w:firstLineChars="0"/>
        <w:rPr>
          <w:rFonts w:hint="default" w:cs="Times New Roman"/>
          <w:iCs/>
          <w:color w:val="auto"/>
          <w:kern w:val="2"/>
          <w:sz w:val="18"/>
          <w:szCs w:val="18"/>
          <w:lang w:val="en-US" w:eastAsia="zh-CN" w:bidi="ar-SA"/>
        </w:rPr>
      </w:pPr>
      <w:r>
        <w:rPr>
          <w:rFonts w:hint="eastAsia"/>
          <w:color w:val="auto"/>
          <w:lang w:val="en-US" w:eastAsia="zh-CN"/>
        </w:rPr>
        <w:t>Side condition of time offset between UE</w:t>
      </w:r>
      <w:r>
        <w:rPr>
          <w:rFonts w:hint="default"/>
          <w:color w:val="auto"/>
          <w:lang w:val="en-US" w:eastAsia="zh-CN"/>
        </w:rPr>
        <w:t>’</w:t>
      </w:r>
      <w:r>
        <w:rPr>
          <w:rFonts w:hint="eastAsia"/>
          <w:color w:val="auto"/>
          <w:lang w:val="en-US" w:eastAsia="zh-CN"/>
        </w:rPr>
        <w:t xml:space="preserve">s DL reference timing in the serving cell and SRS arrival time. We can not see the obvious difference between this case and the legacy R16 SRS-RSRP CLI measurement, so it is preferred to reuse the legacy time offset condition. </w:t>
      </w:r>
    </w:p>
    <w:p>
      <w:pPr>
        <w:numPr>
          <w:ilvl w:val="0"/>
          <w:numId w:val="12"/>
        </w:numPr>
        <w:ind w:left="840" w:leftChars="0" w:hanging="420" w:firstLineChars="0"/>
        <w:rPr>
          <w:rFonts w:hint="default"/>
          <w:color w:val="auto"/>
          <w:lang w:val="en-US" w:eastAsia="zh-CN"/>
        </w:rPr>
      </w:pPr>
      <w:r>
        <w:rPr>
          <w:rFonts w:hint="eastAsia"/>
          <w:color w:val="auto"/>
          <w:lang w:val="en-US" w:eastAsia="zh-CN"/>
        </w:rPr>
        <w:t>Side condition of SINR. Since this is not direct interference measurement, when victim gNB obtain such interference in UL subband, the victim gNB still needs to estimate the leakage in DL subband, so how to define the SINR side condition should be determined. Technically the side condition can be relaxed compared with legacy, but how to relax, more discussion and study is needed.</w:t>
      </w:r>
    </w:p>
    <w:p>
      <w:pPr>
        <w:numPr>
          <w:ilvl w:val="0"/>
          <w:numId w:val="12"/>
        </w:numPr>
        <w:ind w:left="840" w:leftChars="0" w:hanging="420" w:firstLineChars="0"/>
        <w:rPr>
          <w:rFonts w:hint="eastAsia"/>
          <w:color w:val="auto"/>
          <w:lang w:val="en-US" w:eastAsia="zh-CN"/>
        </w:rPr>
      </w:pPr>
      <w:r>
        <w:rPr>
          <w:rFonts w:hint="eastAsia"/>
          <w:color w:val="auto"/>
          <w:lang w:val="en-US" w:eastAsia="zh-CN"/>
        </w:rPr>
        <w:t xml:space="preserve">Side condition of maximum/minimum RSRP, to our understanding, which is similar as the SINR. </w:t>
      </w:r>
    </w:p>
    <w:p>
      <w:pPr>
        <w:pStyle w:val="9"/>
        <w:bidi w:val="0"/>
        <w:rPr>
          <w:rFonts w:hint="eastAsia"/>
          <w:b/>
          <w:bCs/>
          <w:lang w:val="en-US" w:eastAsia="zh-CN"/>
        </w:rPr>
      </w:pPr>
      <w:r>
        <w:rPr>
          <w:rFonts w:hint="eastAsia"/>
          <w:b/>
          <w:bCs/>
          <w:lang w:val="en-US" w:eastAsia="zh-CN"/>
        </w:rPr>
        <w:t>Proposal 3: The side condition for Method#2 should be considered from the following aspects:</w:t>
      </w:r>
    </w:p>
    <w:p>
      <w:pPr>
        <w:pStyle w:val="9"/>
        <w:numPr>
          <w:ilvl w:val="0"/>
          <w:numId w:val="12"/>
        </w:numPr>
        <w:bidi w:val="0"/>
        <w:ind w:left="840" w:leftChars="0" w:hanging="420" w:firstLineChars="0"/>
        <w:rPr>
          <w:rFonts w:hint="eastAsia"/>
          <w:b/>
          <w:bCs/>
          <w:lang w:val="en-US" w:eastAsia="zh-CN"/>
        </w:rPr>
      </w:pPr>
      <w:r>
        <w:rPr>
          <w:rFonts w:hint="default"/>
          <w:b/>
          <w:bCs/>
          <w:lang w:val="en-US" w:eastAsia="zh-CN"/>
        </w:rPr>
        <w:t>Side condition of time offset between UE’s DL reference timing in the serving cell and SRS arrival time</w:t>
      </w:r>
    </w:p>
    <w:p>
      <w:pPr>
        <w:pStyle w:val="9"/>
        <w:numPr>
          <w:ilvl w:val="0"/>
          <w:numId w:val="12"/>
        </w:numPr>
        <w:bidi w:val="0"/>
        <w:ind w:left="840" w:leftChars="0" w:hanging="420" w:firstLineChars="0"/>
        <w:rPr>
          <w:rFonts w:hint="default"/>
          <w:b/>
          <w:bCs/>
          <w:lang w:val="en-US" w:eastAsia="zh-CN"/>
        </w:rPr>
      </w:pPr>
      <w:r>
        <w:rPr>
          <w:rFonts w:hint="eastAsia"/>
          <w:b/>
          <w:bCs/>
          <w:lang w:val="en-US" w:eastAsia="zh-CN"/>
        </w:rPr>
        <w:t>Side condition of SINR</w:t>
      </w:r>
    </w:p>
    <w:p>
      <w:pPr>
        <w:pStyle w:val="9"/>
        <w:numPr>
          <w:ilvl w:val="0"/>
          <w:numId w:val="12"/>
        </w:numPr>
        <w:bidi w:val="0"/>
        <w:ind w:left="840" w:leftChars="0" w:hanging="420" w:firstLineChars="0"/>
        <w:rPr>
          <w:rFonts w:hint="default"/>
          <w:b/>
          <w:bCs/>
          <w:lang w:val="en-US" w:eastAsia="zh-CN"/>
        </w:rPr>
      </w:pPr>
      <w:r>
        <w:rPr>
          <w:rFonts w:hint="eastAsia"/>
          <w:b/>
          <w:bCs/>
          <w:lang w:val="en-US" w:eastAsia="zh-CN"/>
        </w:rPr>
        <w:t>Side condition of maximum/minimum RSRP</w:t>
      </w:r>
    </w:p>
    <w:p>
      <w:pPr>
        <w:pStyle w:val="3"/>
        <w:numPr>
          <w:ilvl w:val="0"/>
          <w:numId w:val="0"/>
        </w:numPr>
        <w:bidi w:val="0"/>
        <w:ind w:leftChars="0"/>
        <w:rPr>
          <w:lang w:eastAsia="zh-CN"/>
        </w:rPr>
      </w:pPr>
      <w:r>
        <w:rPr>
          <w:rFonts w:hint="eastAsia"/>
          <w:lang w:val="en-US" w:eastAsia="zh-CN"/>
        </w:rPr>
        <w:t>2.3 gNB-to-gNB CLI</w:t>
      </w:r>
    </w:p>
    <w:p>
      <w:pPr>
        <w:pStyle w:val="9"/>
        <w:bidi w:val="0"/>
        <w:rPr>
          <w:rFonts w:hint="eastAsia"/>
          <w:lang w:val="en-US" w:eastAsia="zh-CN"/>
        </w:rPr>
      </w:pPr>
      <w:r>
        <w:rPr>
          <w:rFonts w:hint="eastAsia"/>
          <w:lang w:val="en-US" w:eastAsia="zh-CN"/>
        </w:rPr>
        <w:t>The gNB-to-gNB CLI was studied during SI phase with the following general summary in [2]: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pacing w:before="120" w:line="280" w:lineRule="atLeast"/>
              <w:rPr>
                <w:rFonts w:eastAsia="DengXian"/>
                <w:b/>
                <w:bCs/>
                <w:u w:val="single"/>
                <w:lang w:eastAsia="ko-KR"/>
              </w:rPr>
            </w:pPr>
            <w:r>
              <w:rPr>
                <w:rFonts w:hint="eastAsia" w:eastAsia="DengXian"/>
                <w:b/>
                <w:bCs/>
                <w:u w:val="single"/>
                <w:lang w:eastAsia="ko-KR"/>
              </w:rPr>
              <w:t>M</w:t>
            </w:r>
            <w:r>
              <w:rPr>
                <w:rFonts w:eastAsia="DengXian"/>
                <w:b/>
                <w:bCs/>
                <w:u w:val="single"/>
                <w:lang w:eastAsia="ko-KR"/>
              </w:rPr>
              <w:t xml:space="preserve">easurement Resource, Performance Matric and </w:t>
            </w:r>
            <w:r>
              <w:rPr>
                <w:rFonts w:eastAsia="DengXian"/>
                <w:b/>
                <w:bCs/>
                <w:u w:val="single"/>
              </w:rPr>
              <w:t>Relevant information exchange</w:t>
            </w:r>
          </w:p>
          <w:p>
            <w:pPr>
              <w:spacing w:before="120" w:line="280" w:lineRule="atLeast"/>
              <w:rPr>
                <w:rFonts w:eastAsia="DengXian"/>
                <w:lang w:eastAsia="ko-KR"/>
              </w:rPr>
            </w:pPr>
            <w:r>
              <w:rPr>
                <w:rFonts w:eastAsia="DengXian"/>
                <w:lang w:eastAsia="ko-KR"/>
              </w:rPr>
              <w:t>In the study for gNB-to-gNB co-channel CLI measurement, it is considered as baseline to reuse existing DL channel(s)/signal(s)/measurement resource(s), for example, SSB, NZP/ZP-CSI-RS, DMRS for PDCCH/PDSCH, CSI-IM, RSSI measurement resource, etc.</w:t>
            </w:r>
          </w:p>
          <w:p>
            <w:pPr>
              <w:spacing w:before="120" w:line="280" w:lineRule="atLeast"/>
              <w:rPr>
                <w:rFonts w:hint="default" w:eastAsia="DengXian"/>
                <w:lang w:val="en-US"/>
              </w:rPr>
            </w:pPr>
            <w:r>
              <w:rPr>
                <w:rFonts w:eastAsia="宋体"/>
                <w:iCs/>
              </w:rPr>
              <w:t>In the study, beam level (i.e., based on measurement result per SSB resource and/or per CSI-RS resource) CLI measurement can be considered.</w:t>
            </w:r>
          </w:p>
          <w:p>
            <w:pPr>
              <w:pStyle w:val="9"/>
              <w:numPr>
                <w:ilvl w:val="0"/>
                <w:numId w:val="0"/>
              </w:numPr>
              <w:bidi w:val="0"/>
              <w:rPr>
                <w:rFonts w:hint="default"/>
                <w:vertAlign w:val="baseline"/>
                <w:lang w:val="en-US" w:eastAsia="zh-CN"/>
              </w:rPr>
            </w:pPr>
            <w:r>
              <w:rPr>
                <w:rFonts w:eastAsia="DengXian"/>
              </w:rPr>
              <w:t xml:space="preserve">In the study, RAN1 assumed that exchange of configuration for NZP CSI-RS /SSB can be an enabler for gNB-to-gNB CLI measurement and/or channel measurement. </w:t>
            </w:r>
          </w:p>
        </w:tc>
      </w:tr>
    </w:tbl>
    <w:p>
      <w:pPr>
        <w:pStyle w:val="9"/>
        <w:bidi w:val="0"/>
        <w:rPr>
          <w:rFonts w:hint="eastAsia"/>
          <w:lang w:val="en-US" w:eastAsia="zh-CN"/>
        </w:rPr>
      </w:pPr>
      <w:r>
        <w:rPr>
          <w:rFonts w:hint="eastAsia"/>
          <w:lang w:val="en-US" w:eastAsia="zh-CN"/>
        </w:rPr>
        <w:t xml:space="preserve">The original motivation of gNB-to-gNB CLI is to estimate the interference leakage to the UL subband of victim gNB when it performs Rx due to the aggressor gNB Tx at the adjacent DL subband. While during the RAN1 discussion in R19, some spatial domain enhancements and power control scheme were touched. Until RAN1#117 meeting, only the scheme of gNB Tx power control was excluded, other schemes are still on the table, down-selection may be needed. </w:t>
      </w:r>
    </w:p>
    <w:p>
      <w:pPr>
        <w:pStyle w:val="9"/>
        <w:numPr>
          <w:ilvl w:val="0"/>
          <w:numId w:val="13"/>
        </w:numPr>
        <w:bidi w:val="0"/>
        <w:ind w:left="420" w:leftChars="0" w:hanging="420" w:firstLineChars="0"/>
        <w:rPr>
          <w:rFonts w:hint="eastAsia"/>
          <w:lang w:val="en-US" w:eastAsia="zh-CN"/>
        </w:rPr>
      </w:pPr>
      <w:r>
        <w:rPr>
          <w:rFonts w:hint="eastAsia"/>
          <w:lang w:val="en-US" w:eastAsia="zh-CN"/>
        </w:rPr>
        <w:t>gNB-to-gNB co-channel CLI and/or channel measurements</w:t>
      </w:r>
    </w:p>
    <w:p>
      <w:pPr>
        <w:pStyle w:val="9"/>
        <w:numPr>
          <w:ilvl w:val="0"/>
          <w:numId w:val="13"/>
        </w:numPr>
        <w:bidi w:val="0"/>
        <w:ind w:left="420" w:leftChars="0" w:hanging="420" w:firstLineChars="0"/>
        <w:rPr>
          <w:rFonts w:hint="eastAsia"/>
          <w:lang w:val="en-US" w:eastAsia="zh-CN"/>
        </w:rPr>
      </w:pPr>
      <w:r>
        <w:rPr>
          <w:rFonts w:hint="eastAsia"/>
          <w:lang w:val="en-US" w:eastAsia="zh-CN"/>
        </w:rPr>
        <w:t>Spatial domain based schemes</w:t>
      </w:r>
      <w:r>
        <w:rPr>
          <w:rFonts w:hint="eastAsia"/>
          <w:lang w:val="en-US" w:eastAsia="zh-CN"/>
        </w:rPr>
        <w:tab/>
      </w:r>
    </w:p>
    <w:p>
      <w:pPr>
        <w:pStyle w:val="9"/>
        <w:numPr>
          <w:ilvl w:val="0"/>
          <w:numId w:val="14"/>
        </w:numPr>
        <w:bidi w:val="0"/>
        <w:ind w:left="840" w:leftChars="0" w:hanging="420" w:firstLineChars="0"/>
        <w:rPr>
          <w:rFonts w:hint="eastAsia"/>
          <w:lang w:val="en-US" w:eastAsia="zh-CN"/>
        </w:rPr>
      </w:pPr>
      <w:r>
        <w:rPr>
          <w:rFonts w:hint="eastAsia"/>
          <w:lang w:val="en-US" w:eastAsia="zh-CN"/>
        </w:rPr>
        <w:t xml:space="preserve">Beam nulling </w:t>
      </w:r>
    </w:p>
    <w:p>
      <w:pPr>
        <w:pStyle w:val="9"/>
        <w:numPr>
          <w:ilvl w:val="0"/>
          <w:numId w:val="14"/>
        </w:numPr>
        <w:bidi w:val="0"/>
        <w:ind w:left="840" w:leftChars="0" w:hanging="420" w:firstLineChars="0"/>
        <w:rPr>
          <w:rFonts w:hint="eastAsia"/>
          <w:lang w:val="en-US" w:eastAsia="zh-CN"/>
        </w:rPr>
      </w:pPr>
      <w:r>
        <w:rPr>
          <w:rFonts w:hint="eastAsia"/>
          <w:lang w:val="en-US" w:eastAsia="zh-CN"/>
        </w:rPr>
        <w:t>Beam pairing</w:t>
      </w:r>
    </w:p>
    <w:p>
      <w:pPr>
        <w:pStyle w:val="9"/>
        <w:numPr>
          <w:ilvl w:val="0"/>
          <w:numId w:val="15"/>
        </w:numPr>
        <w:bidi w:val="0"/>
        <w:ind w:left="420" w:leftChars="0" w:hanging="420" w:firstLineChars="0"/>
        <w:rPr>
          <w:rFonts w:hint="eastAsia"/>
          <w:lang w:val="en-US" w:eastAsia="zh-CN"/>
        </w:rPr>
      </w:pPr>
      <w:r>
        <w:rPr>
          <w:rFonts w:hint="eastAsia"/>
          <w:lang w:val="en-US" w:eastAsia="zh-CN"/>
        </w:rPr>
        <w:t>Coordinated scheduling in time and/or frequency</w:t>
      </w:r>
    </w:p>
    <w:p>
      <w:pPr>
        <w:pStyle w:val="9"/>
        <w:numPr>
          <w:ilvl w:val="0"/>
          <w:numId w:val="15"/>
        </w:numPr>
        <w:bidi w:val="0"/>
        <w:ind w:left="420" w:leftChars="0" w:hanging="420" w:firstLineChars="0"/>
        <w:rPr>
          <w:bCs/>
          <w:sz w:val="21"/>
          <w:szCs w:val="21"/>
        </w:rPr>
      </w:pPr>
      <w:r>
        <w:rPr>
          <w:rFonts w:hint="eastAsia"/>
          <w:lang w:val="en-US" w:eastAsia="zh-CN"/>
        </w:rPr>
        <w:t>Power control based schemes</w:t>
      </w:r>
      <w:r>
        <w:rPr>
          <w:rFonts w:hint="eastAsia"/>
          <w:lang w:val="en-US" w:eastAsia="zh-CN"/>
        </w:rPr>
        <w:tab/>
      </w:r>
    </w:p>
    <w:p>
      <w:pPr>
        <w:pStyle w:val="9"/>
        <w:numPr>
          <w:ilvl w:val="0"/>
          <w:numId w:val="16"/>
        </w:numPr>
        <w:bidi w:val="0"/>
        <w:ind w:left="840" w:leftChars="0" w:hanging="420" w:firstLineChars="0"/>
        <w:rPr>
          <w:bCs/>
          <w:sz w:val="21"/>
          <w:szCs w:val="21"/>
        </w:rPr>
      </w:pPr>
      <w:r>
        <w:rPr>
          <w:rFonts w:eastAsia="宋体"/>
          <w:bCs/>
          <w:sz w:val="21"/>
          <w:szCs w:val="21"/>
        </w:rPr>
        <w:t>UE Tx power control</w:t>
      </w:r>
    </w:p>
    <w:p>
      <w:pPr>
        <w:pStyle w:val="9"/>
        <w:bidi w:val="0"/>
        <w:rPr>
          <w:rFonts w:hint="eastAsia"/>
          <w:lang w:val="en-US" w:eastAsia="zh-CN"/>
        </w:rPr>
      </w:pPr>
      <w:r>
        <w:rPr>
          <w:rFonts w:hint="eastAsia"/>
          <w:lang w:val="en-US" w:eastAsia="zh-CN"/>
        </w:rPr>
        <w:t>To our understanding, the basic scheme of gNB-to-gNB CLI is similar as gNB-to-gNB CLI, aim to estimate the impact of interference leakage to the victim gNB UL subband, the aggressor gNB sends CSI-RS or SSB at the DL subband. Then victim gNB measures such gNB-to-gNB CLI resource at DL subband to further derive the interference leakage to the adjacent UL subband. During the whole procedure, RAN4 RRM could focus on the following aspects: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b w:val="0"/>
          <w:bCs w:val="0"/>
          <w:u w:val="single"/>
          <w:lang w:val="en-US" w:eastAsia="zh-CN"/>
        </w:rPr>
      </w:pPr>
      <w:r>
        <w:rPr>
          <w:rFonts w:hint="eastAsia" w:cs="Arial"/>
          <w:b w:val="0"/>
          <w:bCs w:val="0"/>
          <w:u w:val="single"/>
          <w:lang w:val="en-US" w:eastAsia="zh-CN"/>
        </w:rPr>
        <w:t>The measurement purpose and measurement metric</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lang w:val="en-US" w:eastAsia="zh-CN"/>
        </w:rPr>
      </w:pPr>
      <w:r>
        <w:rPr>
          <w:rFonts w:hint="eastAsia"/>
          <w:lang w:val="en-US" w:eastAsia="zh-CN"/>
        </w:rPr>
        <w:t xml:space="preserve">To derive the interference leakage to the adjacent UL subband, the victim gNB measures the CSI-RS or SSB resource to obtain the RSRP or RSSI. </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lang w:val="en-US" w:eastAsia="zh-CN"/>
        </w:rPr>
      </w:pPr>
      <w:r>
        <w:rPr>
          <w:rFonts w:hint="eastAsia"/>
          <w:lang w:val="en-US" w:eastAsia="zh-CN"/>
        </w:rPr>
        <w:t>Besides, so as to perform some spatial domain scheme such as beam nulling, the victim gNB still need to estimate the channel info between the aggressor gNB to victim gNB, and report such channel info to aggressor gNB so that the aggressor gNB could determine the precoding with the consideration of zero impact to the victim gNB.</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lang w:val="en-US" w:eastAsia="zh-CN"/>
        </w:rPr>
      </w:pPr>
      <w:r>
        <w:rPr>
          <w:rFonts w:hint="eastAsia"/>
          <w:lang w:val="en-US" w:eastAsia="zh-CN"/>
        </w:rPr>
        <w:t>Another spatial domain scheme is beam pairing, which is a bit different from beam nulling. The purpose of beam pairing is to guarantee the the precoding of two links as much as orthogonal, the 1</w:t>
      </w:r>
      <w:r>
        <w:rPr>
          <w:rFonts w:hint="eastAsia"/>
          <w:vertAlign w:val="superscript"/>
          <w:lang w:val="en-US" w:eastAsia="zh-CN"/>
        </w:rPr>
        <w:t>st</w:t>
      </w:r>
      <w:r>
        <w:rPr>
          <w:rFonts w:hint="eastAsia"/>
          <w:lang w:val="en-US" w:eastAsia="zh-CN"/>
        </w:rPr>
        <w:t xml:space="preserve"> link is from aggressor gNB to UE1, the 2</w:t>
      </w:r>
      <w:r>
        <w:rPr>
          <w:rFonts w:hint="eastAsia"/>
          <w:vertAlign w:val="superscript"/>
          <w:lang w:val="en-US" w:eastAsia="zh-CN"/>
        </w:rPr>
        <w:t>nd</w:t>
      </w:r>
      <w:r>
        <w:rPr>
          <w:rFonts w:hint="eastAsia"/>
          <w:lang w:val="en-US" w:eastAsia="zh-CN"/>
        </w:rPr>
        <w:t xml:space="preserve"> link is from UE2 to victim gNB. Such orthogonality could guarantee almost zero interference from aggressor gNB Tx to victim gNB Rx.</w:t>
      </w:r>
    </w:p>
    <w:p>
      <w:pPr>
        <w:pStyle w:val="9"/>
        <w:bidi w:val="0"/>
        <w:rPr>
          <w:rFonts w:hint="default"/>
          <w:lang w:val="en-US" w:eastAsia="zh-CN"/>
        </w:rPr>
      </w:pPr>
      <w:r>
        <w:rPr>
          <w:rFonts w:hint="eastAsia"/>
          <w:b/>
          <w:bCs/>
          <w:lang w:val="en-US" w:eastAsia="zh-CN"/>
        </w:rPr>
        <w:t>Observation 5: One main motivation of gNB-to-gNB CLI measurement is to help the victim gNB to derive the interference leakage to the UL subband since the aggressor gNB Tx at the DL subband. Besides, some spatial domain scheme could reduce or eliminate the interference.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lang w:val="en-US" w:eastAsia="zh-CN"/>
        </w:rPr>
      </w:pPr>
      <w:r>
        <w:rPr>
          <w:rFonts w:hint="eastAsia"/>
          <w:lang w:val="en-US" w:eastAsia="zh-CN"/>
        </w:rPr>
        <w:t>Based on the above motivation and schemes for gNB-to-gNB CLI, we can classify the gNB-to-gNB CLI measurement into the following types:</w:t>
      </w:r>
    </w:p>
    <w:p>
      <w:pPr>
        <w:numPr>
          <w:ilvl w:val="0"/>
          <w:numId w:val="17"/>
        </w:numPr>
        <w:tabs>
          <w:tab w:val="left" w:pos="420"/>
          <w:tab w:val="clear" w:pos="0"/>
        </w:tabs>
        <w:ind w:left="420" w:leftChars="0" w:hanging="420" w:firstLineChars="0"/>
        <w:rPr>
          <w:rFonts w:hint="default"/>
          <w:lang w:val="en-US" w:eastAsia="zh-CN"/>
        </w:rPr>
      </w:pPr>
      <w:r>
        <w:rPr>
          <w:rFonts w:hint="eastAsia"/>
          <w:lang w:val="en-US" w:eastAsia="zh-CN"/>
        </w:rPr>
        <w:t>Type 1：Victim gNB measures the CLI resource to derive the channel info from aggressor gNB to victim gNB</w:t>
      </w:r>
    </w:p>
    <w:p>
      <w:pPr>
        <w:numPr>
          <w:ilvl w:val="0"/>
          <w:numId w:val="17"/>
        </w:numPr>
        <w:tabs>
          <w:tab w:val="left" w:pos="420"/>
          <w:tab w:val="clear" w:pos="0"/>
        </w:tabs>
        <w:ind w:left="420" w:leftChars="0" w:hanging="420" w:firstLineChars="0"/>
        <w:rPr>
          <w:rFonts w:hint="eastAsia"/>
          <w:lang w:val="en-US" w:eastAsia="zh-CN"/>
        </w:rPr>
      </w:pPr>
      <w:r>
        <w:rPr>
          <w:rFonts w:hint="eastAsia"/>
          <w:lang w:val="en-US" w:eastAsia="zh-CN"/>
        </w:rPr>
        <w:t>Type 2：Aggressor gNB measures the CLI resource and based on the reciprocity to derive the channel info from aggressor gNB to victim gNB</w:t>
      </w:r>
    </w:p>
    <w:p>
      <w:pPr>
        <w:numPr>
          <w:ilvl w:val="0"/>
          <w:numId w:val="17"/>
        </w:numPr>
        <w:tabs>
          <w:tab w:val="left" w:pos="420"/>
          <w:tab w:val="clear" w:pos="0"/>
        </w:tabs>
        <w:ind w:left="420" w:leftChars="0" w:hanging="420" w:firstLineChars="0"/>
        <w:rPr>
          <w:rFonts w:hint="eastAsia"/>
          <w:lang w:val="en-US" w:eastAsia="zh-CN"/>
        </w:rPr>
      </w:pPr>
      <w:r>
        <w:rPr>
          <w:rFonts w:hint="eastAsia"/>
          <w:lang w:val="en-US" w:eastAsia="zh-CN"/>
        </w:rPr>
        <w:t>Type 3：Victim gNB measures the CLI resource to obtain the RSRP/RSSI/SINR of the link from aggressor gNB to victim gNB</w:t>
      </w:r>
    </w:p>
    <w:p>
      <w:pPr>
        <w:numPr>
          <w:ilvl w:val="0"/>
          <w:numId w:val="17"/>
        </w:numPr>
        <w:tabs>
          <w:tab w:val="left" w:pos="420"/>
          <w:tab w:val="clear" w:pos="0"/>
        </w:tabs>
        <w:ind w:left="420" w:leftChars="0" w:hanging="420" w:firstLineChars="0"/>
        <w:rPr>
          <w:rFonts w:hint="eastAsia"/>
          <w:lang w:val="en-US" w:eastAsia="zh-CN"/>
        </w:rPr>
      </w:pPr>
      <w:r>
        <w:rPr>
          <w:rFonts w:hint="eastAsia"/>
          <w:u w:val="none"/>
          <w:lang w:val="en-US" w:eastAsia="zh-CN"/>
        </w:rPr>
        <w:t>Type 4：Victim gNB measures the CLI resource to obtain the strongest/poorest beam of the</w:t>
      </w:r>
      <w:r>
        <w:rPr>
          <w:rFonts w:hint="eastAsia" w:cs="Times New Roman"/>
          <w:color w:val="0000FF"/>
          <w:sz w:val="18"/>
          <w:szCs w:val="18"/>
          <w:lang w:val="en-US" w:eastAsia="zh-CN"/>
        </w:rPr>
        <w:t xml:space="preserve"> </w:t>
      </w:r>
      <w:r>
        <w:rPr>
          <w:rFonts w:hint="eastAsia"/>
          <w:lang w:val="en-US" w:eastAsia="zh-CN"/>
        </w:rPr>
        <w:t>link from aggressor gNB to victim gNB</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lang w:val="en-US" w:eastAsia="zh-CN"/>
        </w:rPr>
      </w:pPr>
      <w:r>
        <w:rPr>
          <w:rFonts w:hint="eastAsia"/>
          <w:lang w:val="en-US" w:eastAsia="zh-CN"/>
        </w:rPr>
        <w:t>Regarding Type 1, 2, the candidate measurement resource includes SSB, CSI-RS and DMRS. The measurement metrics is the channel matrix H.</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lang w:val="en-US" w:eastAsia="zh-CN"/>
        </w:rPr>
      </w:pPr>
      <w:r>
        <w:rPr>
          <w:rFonts w:hint="eastAsia"/>
          <w:lang w:val="en-US" w:eastAsia="zh-CN"/>
        </w:rPr>
        <w:t>For Type 3, the candidate measurement resource includes SSB or CSI-RS. Instead to estimate the channel matrix itself, the candidate measurement metrics includes RSRP, RSSI and SINR. Such type of measurement is similar as UE-to-UE CLI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lang w:val="en-US" w:eastAsia="zh-CN"/>
        </w:rPr>
      </w:pPr>
      <w:r>
        <w:rPr>
          <w:rFonts w:hint="eastAsia"/>
          <w:lang w:val="en-US" w:eastAsia="zh-CN"/>
        </w:rPr>
        <w:t>For Type 4, similar as legacy BM measurement, so the candidate measurement resource includes SSB or CSI-RS, and the measurement metrics could be RSRP. The report quantity could be RSRP and the relevant RS index. The victim gNB could report the strongest/poorest beam info to the aggressor gNB, when the aggressor gNB schedules its serving UEs, some interference avoidance strategy can be considered.</w:t>
      </w:r>
    </w:p>
    <w:p>
      <w:pPr>
        <w:pStyle w:val="9"/>
        <w:bidi w:val="0"/>
        <w:rPr>
          <w:rFonts w:hint="eastAsia"/>
          <w:b/>
          <w:bCs/>
          <w:lang w:val="en-US" w:eastAsia="zh-CN"/>
        </w:rPr>
      </w:pPr>
      <w:r>
        <w:rPr>
          <w:rFonts w:hint="eastAsia"/>
          <w:b/>
          <w:bCs/>
          <w:lang w:val="en-US" w:eastAsia="zh-CN"/>
        </w:rPr>
        <w:t>Observation 6: Based on all candidate schemes of gNB-to-gNB CLI, four types of measurements could be considered with different measurement purpose:</w:t>
      </w:r>
    </w:p>
    <w:p>
      <w:pPr>
        <w:pStyle w:val="9"/>
        <w:numPr>
          <w:ilvl w:val="0"/>
          <w:numId w:val="17"/>
        </w:numPr>
        <w:bidi w:val="0"/>
        <w:ind w:left="420" w:leftChars="0" w:hanging="420" w:firstLineChars="0"/>
        <w:rPr>
          <w:rFonts w:hint="default"/>
          <w:b/>
          <w:bCs/>
          <w:lang w:val="en-US" w:eastAsia="zh-CN"/>
        </w:rPr>
      </w:pPr>
      <w:r>
        <w:rPr>
          <w:rFonts w:hint="default"/>
          <w:b/>
          <w:bCs/>
          <w:lang w:val="en-US" w:eastAsia="zh-CN"/>
        </w:rPr>
        <w:t>Type 1：Victim gNB measures the CLI resource to derive the channel info from aggressor gNB to victim gNB</w:t>
      </w:r>
    </w:p>
    <w:p>
      <w:pPr>
        <w:pStyle w:val="9"/>
        <w:numPr>
          <w:ilvl w:val="0"/>
          <w:numId w:val="17"/>
        </w:numPr>
        <w:bidi w:val="0"/>
        <w:ind w:left="420" w:leftChars="0" w:hanging="420" w:firstLineChars="0"/>
        <w:rPr>
          <w:rFonts w:hint="default"/>
          <w:b/>
          <w:bCs/>
          <w:lang w:val="en-US" w:eastAsia="zh-CN"/>
        </w:rPr>
      </w:pPr>
      <w:r>
        <w:rPr>
          <w:rFonts w:hint="default"/>
          <w:b/>
          <w:bCs/>
          <w:lang w:val="en-US" w:eastAsia="zh-CN"/>
        </w:rPr>
        <w:t>Type 2：Aggressor gNB measures the CLI resource and based on the reciprocity to derive the channel info from aggressor gNB to victim gNB</w:t>
      </w:r>
    </w:p>
    <w:p>
      <w:pPr>
        <w:pStyle w:val="9"/>
        <w:numPr>
          <w:ilvl w:val="0"/>
          <w:numId w:val="17"/>
        </w:numPr>
        <w:bidi w:val="0"/>
        <w:ind w:left="420" w:leftChars="0" w:hanging="420" w:firstLineChars="0"/>
        <w:rPr>
          <w:rFonts w:hint="default"/>
          <w:b/>
          <w:bCs/>
          <w:lang w:val="en-US" w:eastAsia="zh-CN"/>
        </w:rPr>
      </w:pPr>
      <w:r>
        <w:rPr>
          <w:rFonts w:hint="default"/>
          <w:b/>
          <w:bCs/>
          <w:lang w:val="en-US" w:eastAsia="zh-CN"/>
        </w:rPr>
        <w:t>Type 3：Victim gNB measures the CLI resource to obtain the RSRP/RSSI/SINR of the link from aggressor gNB to victim gNB</w:t>
      </w:r>
    </w:p>
    <w:p>
      <w:pPr>
        <w:pStyle w:val="9"/>
        <w:numPr>
          <w:ilvl w:val="0"/>
          <w:numId w:val="17"/>
        </w:numPr>
        <w:bidi w:val="0"/>
        <w:ind w:left="420" w:leftChars="0" w:hanging="420" w:firstLineChars="0"/>
        <w:rPr>
          <w:rFonts w:hint="default"/>
          <w:lang w:val="en-US" w:eastAsia="zh-CN"/>
        </w:rPr>
      </w:pPr>
      <w:r>
        <w:rPr>
          <w:rFonts w:hint="default"/>
          <w:b/>
          <w:bCs/>
          <w:lang w:val="en-US" w:eastAsia="zh-CN"/>
        </w:rPr>
        <w:t>Type 4：Victim gNB measures the CLI resource to obtain the strongest/poorest beam of the link from aggressor gNB to victim gNB</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b w:val="0"/>
          <w:bCs w:val="0"/>
          <w:u w:val="single"/>
          <w:lang w:val="en-US" w:eastAsia="zh-CN"/>
        </w:rPr>
      </w:pPr>
      <w:r>
        <w:rPr>
          <w:rFonts w:hint="eastAsia" w:cs="Arial"/>
          <w:b w:val="0"/>
          <w:bCs w:val="0"/>
          <w:u w:val="single"/>
          <w:lang w:val="en-US" w:eastAsia="zh-CN"/>
        </w:rPr>
        <w:t>L3 measurement or L1 measurement</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lang w:val="en-US" w:eastAsia="zh-CN"/>
        </w:rPr>
      </w:pPr>
      <w:r>
        <w:rPr>
          <w:rFonts w:hint="eastAsia"/>
          <w:lang w:val="en-US" w:eastAsia="zh-CN"/>
        </w:rPr>
        <w:t>It has been determined that the UE-to-UE CLI measurement in R19 is L1 measurement. For gNB-to-gNB CLI measurement, we do not have strong view to maintain L3 measurement or degrade to L1 measurement. Within all listed measurement type above, Type 1 and 2 are special, the channel matrix H is measured in the two types, it is hard to define as L3 or L1 measurement. While for the Type 3 and 4, both L3 or L1 are fine. From the perspective of NW, it would always transmit signal even though to different UE, so the interference would be stable relatively compared with the UE-to-UE interference. So L1 measurement is preferred. Furthermore, L1 based gNB-to-gNB CLI measurement is aligned with the already decided L1 based UE-to-UE CLI measurement.</w:t>
      </w:r>
    </w:p>
    <w:p>
      <w:pPr>
        <w:pStyle w:val="9"/>
        <w:bidi w:val="0"/>
        <w:rPr>
          <w:rFonts w:hint="default"/>
          <w:lang w:val="en-US" w:eastAsia="zh-CN"/>
        </w:rPr>
      </w:pPr>
      <w:r>
        <w:rPr>
          <w:rFonts w:hint="eastAsia"/>
          <w:b/>
          <w:bCs/>
          <w:lang w:val="en-US" w:eastAsia="zh-CN"/>
        </w:rPr>
        <w:t>Proposal 4: L1 based gNB-to-gNB CLI measurement is preferred due to the relatively stable interference circumstance. If channel matrix measurement allowed, need to discuss how to define the measurement type.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cs="Arial"/>
          <w:b w:val="0"/>
          <w:bCs w:val="0"/>
          <w:u w:val="single"/>
          <w:lang w:val="en-US" w:eastAsia="zh-CN"/>
        </w:rPr>
      </w:pPr>
      <w:r>
        <w:rPr>
          <w:rFonts w:hint="eastAsia" w:cs="Arial"/>
          <w:b w:val="0"/>
          <w:bCs w:val="0"/>
          <w:u w:val="single"/>
          <w:lang w:val="en-US" w:eastAsia="zh-CN"/>
        </w:rPr>
        <w:t>How to ensure the measurement resource are non-overlapping between multiple aggressors</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eastAsia"/>
          <w:lang w:val="en-US" w:eastAsia="zh-CN"/>
        </w:rPr>
      </w:pPr>
      <w:r>
        <w:rPr>
          <w:rFonts w:hint="eastAsia"/>
          <w:lang w:val="en-US" w:eastAsia="zh-CN"/>
        </w:rPr>
        <w:t>For Type 1, 2, 4, it is better to use non-overlapping resource between multiple aggressor gNBs. The victim gNB can be configured with multiple SSB/CSI-RS resources, but who undertakes the configuration task? It seems some interaction between gNBs is needed. The multiple SSB/CSI-RS resources should be non-overlapping, so it is better to use NCD-SSB since the CD-SSB from multiple NBs may overlapping.</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lang w:val="en-US" w:eastAsia="zh-CN"/>
        </w:rPr>
      </w:pPr>
      <w:r>
        <w:rPr>
          <w:rFonts w:hint="eastAsia"/>
          <w:lang w:val="en-US" w:eastAsia="zh-CN"/>
        </w:rPr>
        <w:t>For Type 3, if the gNB-to-gNB CLI measurement is only used for the victim gNB scheduling decision internally, no interaction with the aggressor gNBs, then overlapping CLI resource is preferred since the victim gNB needs to figure out the whole interference situation.</w:t>
      </w:r>
    </w:p>
    <w:p>
      <w:pPr>
        <w:pStyle w:val="9"/>
        <w:bidi w:val="0"/>
        <w:rPr>
          <w:rFonts w:hint="eastAsia"/>
          <w:b/>
          <w:bCs/>
          <w:lang w:val="en-US" w:eastAsia="zh-CN"/>
        </w:rPr>
      </w:pPr>
      <w:r>
        <w:rPr>
          <w:rFonts w:hint="eastAsia"/>
          <w:b/>
          <w:bCs/>
          <w:lang w:val="en-US" w:eastAsia="zh-CN"/>
        </w:rPr>
        <w:t>Observation 7: One victim gNB may interfered by multiple aggressors. So who undertakes the gNB-to-gNB CLI resource configuration task should be considered. Whether allow the interaction between gNBs should be determined, so wait for RAN3 conclusions.</w:t>
      </w:r>
    </w:p>
    <w:p>
      <w:pPr>
        <w:pStyle w:val="9"/>
        <w:bidi w:val="0"/>
        <w:rPr>
          <w:rFonts w:hint="default" w:cs="Arial"/>
          <w:b w:val="0"/>
          <w:bCs w:val="0"/>
          <w:u w:val="single"/>
          <w:lang w:val="en-US" w:eastAsia="zh-CN"/>
        </w:rPr>
      </w:pPr>
      <w:r>
        <w:rPr>
          <w:rFonts w:hint="eastAsia"/>
          <w:b/>
          <w:bCs/>
          <w:lang w:val="en-US" w:eastAsia="zh-CN"/>
        </w:rPr>
        <w:t>Observation 8: Within all four types of measurement for gNB-to-gNB CLI, the Type 3 is not sensitive to single aggressor or multiple aggressors. While Type 1, 2, 4 are sensitive to single aggressor or multiple aggressors due to non-overlapping CLI resource are needed for multiple aggressors case.</w:t>
      </w:r>
    </w:p>
    <w:p>
      <w:pPr>
        <w:pStyle w:val="9"/>
        <w:keepNext w:val="0"/>
        <w:keepLines w:val="0"/>
        <w:pageBreakBefore w:val="0"/>
        <w:widowControl/>
        <w:numPr>
          <w:ilvl w:val="0"/>
          <w:numId w:val="0"/>
        </w:numPr>
        <w:kinsoku/>
        <w:wordWrap/>
        <w:overflowPunct/>
        <w:topLinePunct w:val="0"/>
        <w:autoSpaceDE/>
        <w:autoSpaceDN/>
        <w:bidi w:val="0"/>
        <w:adjustRightInd/>
        <w:snapToGrid/>
        <w:spacing w:before="120" w:after="0"/>
        <w:ind w:leftChars="0"/>
        <w:textAlignment w:val="auto"/>
        <w:rPr>
          <w:rFonts w:hint="default" w:cs="Arial"/>
          <w:lang w:val="en-US" w:eastAsia="zh-CN"/>
        </w:rPr>
      </w:pPr>
      <w:r>
        <w:rPr>
          <w:rFonts w:hint="eastAsia" w:cs="Arial"/>
          <w:b w:val="0"/>
          <w:bCs w:val="0"/>
          <w:u w:val="single"/>
          <w:lang w:val="en-US" w:eastAsia="zh-CN"/>
        </w:rPr>
        <w:t>Side condition</w:t>
      </w:r>
    </w:p>
    <w:p>
      <w:pPr>
        <w:pStyle w:val="9"/>
        <w:numPr>
          <w:ilvl w:val="0"/>
          <w:numId w:val="0"/>
        </w:numPr>
        <w:bidi w:val="0"/>
        <w:rPr>
          <w:rFonts w:hint="eastAsia"/>
          <w:lang w:val="en-US" w:eastAsia="zh-CN"/>
        </w:rPr>
      </w:pPr>
      <w:r>
        <w:rPr>
          <w:rFonts w:hint="eastAsia"/>
          <w:lang w:val="en-US" w:eastAsia="zh-CN"/>
        </w:rPr>
        <w:t xml:space="preserve">Similar as our analysis for UE-to-UE CLI, the side conditions including time offset, SINR/RSRP should be considered. </w:t>
      </w:r>
    </w:p>
    <w:p>
      <w:pPr>
        <w:rPr>
          <w:rFonts w:hint="eastAsia"/>
          <w:lang w:val="en-US" w:eastAsia="zh-CN"/>
        </w:rPr>
      </w:pPr>
      <w:r>
        <w:rPr>
          <w:rFonts w:hint="eastAsia"/>
          <w:lang w:val="en-US" w:eastAsia="zh-CN"/>
        </w:rPr>
        <w:t>For Type 1, 3, the timing between receiving CLI SSB/CSI-RS and receiving normal UL signal may not aligned at the victim gNB, so how to track the two timing should be studied. The victim NB would receive UL transmission from its serving UE and CLI RS from aggressor gNB. So the time offset between the victim gNB receiving UL transmission and receiving aggressor gNB CLI resource is T</w:t>
      </w:r>
      <w:r>
        <w:rPr>
          <w:rFonts w:hint="eastAsia"/>
          <w:sz w:val="13"/>
          <w:szCs w:val="13"/>
          <w:lang w:val="en-US" w:eastAsia="zh-CN"/>
        </w:rPr>
        <w:t>prop</w:t>
      </w:r>
      <w:r>
        <w:rPr>
          <w:rFonts w:hint="eastAsia"/>
          <w:lang w:val="en-US" w:eastAsia="zh-CN"/>
        </w:rPr>
        <w:t>+</w:t>
      </w:r>
      <w:r>
        <w:rPr>
          <w:rFonts w:eastAsia="Batang"/>
        </w:rPr>
        <w:t>N</w:t>
      </w:r>
      <w:r>
        <w:rPr>
          <w:rFonts w:eastAsia="Batang"/>
          <w:vertAlign w:val="subscript"/>
        </w:rPr>
        <w:t>TA,offset</w:t>
      </w:r>
      <w:r>
        <w:rPr>
          <w:rFonts w:hint="eastAsia"/>
          <w:lang w:val="en-US" w:eastAsia="zh-CN"/>
        </w:rPr>
        <w:t>*</w:t>
      </w:r>
      <w:r>
        <w:rPr>
          <w:i/>
        </w:rPr>
        <w:t>T</w:t>
      </w:r>
      <w:r>
        <w:rPr>
          <w:i/>
          <w:vertAlign w:val="subscript"/>
        </w:rPr>
        <w:t>c</w:t>
      </w:r>
      <w:r>
        <w:rPr>
          <w:rFonts w:hint="eastAsia"/>
          <w:lang w:val="en-US" w:eastAsia="zh-CN"/>
        </w:rPr>
        <w:t xml:space="preserve">. </w:t>
      </w:r>
    </w:p>
    <w:p>
      <w:pPr>
        <w:rPr>
          <w:rFonts w:hint="default"/>
          <w:lang w:val="en-US" w:eastAsia="zh-CN"/>
        </w:rPr>
      </w:pPr>
      <w:r>
        <w:rPr>
          <w:rFonts w:hint="eastAsia"/>
          <w:lang w:val="en-US" w:eastAsia="zh-CN"/>
        </w:rPr>
        <w:t xml:space="preserve">If victim gNB and aggressor gNB share different </w:t>
      </w:r>
      <w:r>
        <w:rPr>
          <w:rFonts w:eastAsia="Batang"/>
        </w:rPr>
        <w:t>N</w:t>
      </w:r>
      <w:r>
        <w:rPr>
          <w:rFonts w:eastAsia="Batang"/>
          <w:vertAlign w:val="subscript"/>
        </w:rPr>
        <w:t>TA,offset</w:t>
      </w:r>
      <w:r>
        <w:rPr>
          <w:rFonts w:hint="eastAsia"/>
          <w:lang w:val="en-US" w:eastAsia="zh-CN"/>
        </w:rPr>
        <w:t xml:space="preserve">, here the value of </w:t>
      </w:r>
      <w:r>
        <w:rPr>
          <w:rFonts w:eastAsia="Batang"/>
        </w:rPr>
        <w:t>N</w:t>
      </w:r>
      <w:r>
        <w:rPr>
          <w:rFonts w:eastAsia="Batang"/>
          <w:vertAlign w:val="subscript"/>
        </w:rPr>
        <w:t>TA,offset</w:t>
      </w:r>
      <w:r>
        <w:rPr>
          <w:rFonts w:hint="eastAsia"/>
          <w:lang w:val="en-US" w:eastAsia="zh-CN"/>
        </w:rPr>
        <w:t xml:space="preserve"> should follow the value of aggressor gNB. The component of T</w:t>
      </w:r>
      <w:r>
        <w:rPr>
          <w:rFonts w:hint="eastAsia"/>
          <w:sz w:val="13"/>
          <w:szCs w:val="13"/>
          <w:lang w:val="en-US" w:eastAsia="zh-CN"/>
        </w:rPr>
        <w:t xml:space="preserve">prop </w:t>
      </w:r>
      <w:r>
        <w:rPr>
          <w:rFonts w:hint="eastAsia"/>
          <w:lang w:val="en-US" w:eastAsia="zh-CN"/>
        </w:rPr>
        <w:t>is the propagation delay from aggressor NB to victim NB.  it depends on the ISD. For 500m ISD(UMA), if the two NBs</w:t>
      </w:r>
      <w:r>
        <w:rPr>
          <w:rFonts w:hint="default"/>
          <w:lang w:val="en-US" w:eastAsia="zh-CN"/>
        </w:rPr>
        <w:t>’</w:t>
      </w:r>
      <w:r>
        <w:rPr>
          <w:rFonts w:hint="eastAsia"/>
          <w:lang w:val="en-US" w:eastAsia="zh-CN"/>
        </w:rPr>
        <w:t xml:space="preserve"> separation is 2*ISD, propagation delay is about 3.33us. </w:t>
      </w:r>
    </w:p>
    <w:p>
      <w:pPr>
        <w:pStyle w:val="9"/>
        <w:numPr>
          <w:ilvl w:val="0"/>
          <w:numId w:val="0"/>
        </w:numPr>
        <w:bidi w:val="0"/>
        <w:rPr>
          <w:rFonts w:hint="default"/>
          <w:lang w:val="en-US" w:eastAsia="zh-CN"/>
        </w:rPr>
      </w:pPr>
    </w:p>
    <w:p>
      <w:pPr>
        <w:pStyle w:val="9"/>
        <w:bidi w:val="0"/>
        <w:rPr>
          <w:rFonts w:hint="default"/>
          <w:b/>
          <w:bCs/>
          <w:lang w:val="en-US" w:eastAsia="zh-CN"/>
        </w:rPr>
      </w:pP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9"/>
        <w:tabs>
          <w:tab w:val="left" w:pos="226"/>
          <w:tab w:val="left" w:pos="284"/>
          <w:tab w:val="left" w:pos="5103"/>
        </w:tabs>
        <w:snapToGrid w:val="0"/>
        <w:rPr>
          <w:rFonts w:hint="eastAsia" w:eastAsia="宋体"/>
          <w:bCs/>
          <w:color w:val="auto"/>
          <w:sz w:val="20"/>
          <w:szCs w:val="20"/>
          <w:lang w:val="en-US"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w:t>
      </w:r>
      <w:r>
        <w:rPr>
          <w:rFonts w:hint="eastAsia" w:eastAsia="宋体"/>
          <w:bCs/>
          <w:color w:val="auto"/>
          <w:sz w:val="20"/>
          <w:szCs w:val="20"/>
          <w:lang w:val="en-US" w:eastAsia="zh-CN"/>
        </w:rPr>
        <w:t xml:space="preserve"> p</w:t>
      </w:r>
      <w:r>
        <w:rPr>
          <w:rFonts w:eastAsia="宋体"/>
          <w:bCs/>
          <w:color w:val="auto"/>
          <w:sz w:val="20"/>
          <w:szCs w:val="20"/>
          <w:lang w:val="en-GB" w:eastAsia="zh-CN"/>
        </w:rPr>
        <w:t>roposals</w:t>
      </w:r>
      <w:r>
        <w:rPr>
          <w:rFonts w:hint="eastAsia" w:eastAsia="宋体"/>
          <w:bCs/>
          <w:color w:val="auto"/>
          <w:sz w:val="20"/>
          <w:szCs w:val="20"/>
          <w:lang w:val="en-US" w:eastAsia="zh-CN"/>
        </w:rPr>
        <w:t xml:space="preserve"> on the RRM enhancements</w:t>
      </w:r>
      <w:r>
        <w:rPr>
          <w:rFonts w:eastAsia="宋体"/>
          <w:bCs/>
          <w:color w:val="auto"/>
          <w:sz w:val="20"/>
          <w:szCs w:val="20"/>
          <w:lang w:val="en-GB" w:eastAsia="zh-CN"/>
        </w:rPr>
        <w:t>:</w:t>
      </w:r>
      <w:r>
        <w:rPr>
          <w:rFonts w:hint="eastAsia" w:eastAsia="宋体"/>
          <w:bCs/>
          <w:color w:val="auto"/>
          <w:sz w:val="20"/>
          <w:szCs w:val="20"/>
          <w:lang w:val="en-US" w:eastAsia="zh-CN"/>
        </w:rPr>
        <w:t xml:space="preserve"> </w:t>
      </w:r>
    </w:p>
    <w:p>
      <w:pPr>
        <w:pStyle w:val="9"/>
        <w:bidi w:val="0"/>
        <w:rPr>
          <w:rFonts w:hint="eastAsia"/>
          <w:b/>
          <w:bCs/>
          <w:lang w:val="en-US" w:eastAsia="zh-CN"/>
        </w:rPr>
      </w:pPr>
      <w:r>
        <w:rPr>
          <w:rFonts w:hint="eastAsia"/>
          <w:b/>
          <w:bCs/>
          <w:lang w:val="en-US" w:eastAsia="zh-CN"/>
        </w:rPr>
        <w:t>Observation 1: Some high level key points of the applicable scenario of R19 SBFD are listed as below:</w:t>
      </w:r>
    </w:p>
    <w:p>
      <w:pPr>
        <w:pStyle w:val="9"/>
        <w:numPr>
          <w:ilvl w:val="0"/>
          <w:numId w:val="6"/>
        </w:numPr>
        <w:bidi w:val="0"/>
        <w:ind w:left="420" w:leftChars="0" w:hanging="420" w:firstLineChars="0"/>
        <w:rPr>
          <w:rFonts w:hint="default"/>
          <w:b/>
          <w:bCs/>
          <w:lang w:val="en-US" w:eastAsia="zh-CN"/>
        </w:rPr>
      </w:pPr>
      <w:r>
        <w:rPr>
          <w:rFonts w:hint="eastAsia"/>
          <w:b/>
          <w:bCs/>
          <w:lang w:val="en-US" w:eastAsia="zh-CN"/>
        </w:rPr>
        <w:t>The frequency and time resource of SBFD subband is semi-statically indicated to SBFD aware UE in CONNECTED mode, i.e. dynamic SBFD/TDD operation is not considered</w:t>
      </w:r>
    </w:p>
    <w:p>
      <w:pPr>
        <w:pStyle w:val="9"/>
        <w:numPr>
          <w:ilvl w:val="0"/>
          <w:numId w:val="6"/>
        </w:numPr>
        <w:bidi w:val="0"/>
        <w:ind w:left="420" w:leftChars="0" w:hanging="420" w:firstLineChars="0"/>
        <w:rPr>
          <w:rFonts w:hint="default"/>
          <w:b/>
          <w:bCs/>
          <w:lang w:val="en-US" w:eastAsia="zh-CN"/>
        </w:rPr>
      </w:pPr>
      <w:r>
        <w:rPr>
          <w:rFonts w:hint="eastAsia"/>
          <w:b/>
          <w:bCs/>
          <w:lang w:val="en-US" w:eastAsia="zh-CN"/>
        </w:rPr>
        <w:t>SBFD at gNB side, and half duplex operation at UE side</w:t>
      </w:r>
    </w:p>
    <w:p>
      <w:pPr>
        <w:pStyle w:val="9"/>
        <w:numPr>
          <w:ilvl w:val="0"/>
          <w:numId w:val="6"/>
        </w:numPr>
        <w:bidi w:val="0"/>
        <w:ind w:left="420" w:leftChars="0" w:hanging="420" w:firstLineChars="0"/>
        <w:rPr>
          <w:rFonts w:hint="default"/>
          <w:b/>
          <w:bCs/>
          <w:lang w:val="en-US" w:eastAsia="zh-CN"/>
        </w:rPr>
      </w:pPr>
      <w:r>
        <w:rPr>
          <w:rFonts w:hint="eastAsia"/>
          <w:b/>
          <w:bCs/>
          <w:lang w:val="en-US" w:eastAsia="zh-CN"/>
        </w:rPr>
        <w:t>Consider FR1 and FR2-1</w:t>
      </w:r>
    </w:p>
    <w:p>
      <w:pPr>
        <w:pStyle w:val="9"/>
        <w:numPr>
          <w:ilvl w:val="0"/>
          <w:numId w:val="6"/>
        </w:numPr>
        <w:bidi w:val="0"/>
        <w:ind w:left="420" w:leftChars="0" w:hanging="420" w:firstLineChars="0"/>
        <w:rPr>
          <w:rFonts w:hint="default"/>
          <w:b/>
          <w:bCs/>
          <w:lang w:val="en-US" w:eastAsia="zh-CN"/>
        </w:rPr>
      </w:pPr>
      <w:r>
        <w:rPr>
          <w:rFonts w:hint="default"/>
          <w:b/>
          <w:bCs/>
          <w:lang w:val="en-US" w:eastAsia="zh-CN"/>
        </w:rPr>
        <w:t xml:space="preserve">Coexistence between non-SBFD aware UEs and SBFD aware UEs in </w:t>
      </w:r>
      <w:r>
        <w:rPr>
          <w:rFonts w:hint="eastAsia"/>
          <w:b/>
          <w:bCs/>
          <w:lang w:val="en-US" w:eastAsia="zh-CN"/>
        </w:rPr>
        <w:t xml:space="preserve">a cell at </w:t>
      </w:r>
      <w:r>
        <w:rPr>
          <w:rFonts w:hint="default"/>
          <w:b/>
          <w:bCs/>
          <w:lang w:val="en-US" w:eastAsia="zh-CN"/>
        </w:rPr>
        <w:t>gNB side</w:t>
      </w:r>
    </w:p>
    <w:p>
      <w:pPr>
        <w:pStyle w:val="9"/>
        <w:numPr>
          <w:ilvl w:val="0"/>
          <w:numId w:val="6"/>
        </w:numPr>
        <w:bidi w:val="0"/>
        <w:ind w:left="420" w:leftChars="0" w:hanging="420" w:firstLineChars="0"/>
        <w:rPr>
          <w:rFonts w:hint="default"/>
          <w:b/>
          <w:bCs/>
          <w:lang w:val="en-US" w:eastAsia="zh-CN"/>
        </w:rPr>
      </w:pPr>
      <w:r>
        <w:rPr>
          <w:rFonts w:hint="default"/>
          <w:b/>
          <w:bCs/>
          <w:lang w:val="en-US" w:eastAsia="zh-CN"/>
        </w:rPr>
        <w:t>SBFD scheme within a single configured DL and UL BWP pair with aligned center frequencies</w:t>
      </w:r>
    </w:p>
    <w:p>
      <w:pPr>
        <w:pStyle w:val="9"/>
        <w:numPr>
          <w:ilvl w:val="0"/>
          <w:numId w:val="6"/>
        </w:numPr>
        <w:bidi w:val="0"/>
        <w:ind w:left="420" w:leftChars="0" w:hanging="420" w:firstLineChars="0"/>
        <w:rPr>
          <w:rFonts w:hint="default"/>
          <w:b/>
          <w:bCs/>
          <w:lang w:val="en-US" w:eastAsia="zh-CN"/>
        </w:rPr>
      </w:pPr>
      <w:r>
        <w:rPr>
          <w:rFonts w:hint="eastAsia"/>
          <w:b/>
          <w:bCs/>
          <w:lang w:val="en-US" w:eastAsia="zh-CN"/>
        </w:rPr>
        <w:t>The SBFD subband applicable to UL operation only locates in D or F symbol</w:t>
      </w:r>
    </w:p>
    <w:p>
      <w:pPr>
        <w:pStyle w:val="9"/>
        <w:numPr>
          <w:ilvl w:val="0"/>
          <w:numId w:val="6"/>
        </w:numPr>
        <w:bidi w:val="0"/>
        <w:ind w:left="420" w:leftChars="0" w:hanging="420" w:firstLineChars="0"/>
        <w:rPr>
          <w:rFonts w:hint="default"/>
          <w:b/>
          <w:bCs/>
          <w:lang w:val="en-US" w:eastAsia="zh-CN"/>
        </w:rPr>
      </w:pPr>
      <w:r>
        <w:rPr>
          <w:rFonts w:hint="eastAsia"/>
          <w:b/>
          <w:bCs/>
          <w:lang w:val="en-US" w:eastAsia="zh-CN"/>
        </w:rPr>
        <w:t>Includes both single-operator and two-operator applications</w:t>
      </w:r>
    </w:p>
    <w:p>
      <w:pPr>
        <w:pStyle w:val="9"/>
        <w:numPr>
          <w:ilvl w:val="0"/>
          <w:numId w:val="6"/>
        </w:numPr>
        <w:bidi w:val="0"/>
        <w:ind w:left="420" w:leftChars="0" w:hanging="420" w:firstLineChars="0"/>
        <w:rPr>
          <w:rFonts w:hint="default"/>
          <w:b/>
          <w:bCs/>
          <w:highlight w:val="none"/>
          <w:lang w:val="en-US" w:eastAsia="zh-CN"/>
        </w:rPr>
      </w:pPr>
      <w:r>
        <w:rPr>
          <w:rFonts w:hint="eastAsia"/>
          <w:b/>
          <w:bCs/>
          <w:highlight w:val="none"/>
          <w:lang w:val="en-US" w:eastAsia="zh-CN"/>
        </w:rPr>
        <w:t>Both macro and micro are considered, i.e. the homogeneous and heterogeneous network are considered</w:t>
      </w:r>
    </w:p>
    <w:p>
      <w:pPr>
        <w:pStyle w:val="9"/>
        <w:bidi w:val="0"/>
        <w:rPr>
          <w:rFonts w:hint="eastAsia"/>
          <w:b/>
          <w:bCs/>
          <w:lang w:val="en-US" w:eastAsia="zh-CN"/>
        </w:rPr>
      </w:pPr>
      <w:r>
        <w:rPr>
          <w:rFonts w:hint="eastAsia"/>
          <w:b/>
          <w:bCs/>
          <w:lang w:val="en-US" w:eastAsia="zh-CN"/>
        </w:rPr>
        <w:t xml:space="preserve">Observation 2: The R19 UE-to-UE CLI measurement is determined as L1 measurement, both SRS-RSRP measurement and CLI-RSSI measurement are allowed, the resource can be configured as periodic, semi-persistent, or aperiodic resource. At least aperiodic reporting supported. </w:t>
      </w:r>
    </w:p>
    <w:p>
      <w:pPr>
        <w:pStyle w:val="9"/>
        <w:bidi w:val="0"/>
        <w:rPr>
          <w:rFonts w:hint="default"/>
          <w:b/>
          <w:bCs/>
          <w:lang w:val="en-US" w:eastAsia="zh-CN"/>
        </w:rPr>
      </w:pPr>
      <w:r>
        <w:rPr>
          <w:rFonts w:hint="eastAsia"/>
          <w:b/>
          <w:bCs/>
          <w:lang w:val="en-US" w:eastAsia="zh-CN"/>
        </w:rPr>
        <w:t>Observation 3: How to determine the QCL typeD assumption of the CLI resource, still FFS.</w:t>
      </w:r>
    </w:p>
    <w:p>
      <w:pPr>
        <w:pStyle w:val="9"/>
        <w:bidi w:val="0"/>
        <w:rPr>
          <w:rFonts w:hint="default"/>
          <w:b/>
          <w:bCs/>
          <w:lang w:val="en-US" w:eastAsia="zh-CN"/>
        </w:rPr>
      </w:pPr>
      <w:r>
        <w:rPr>
          <w:rFonts w:hint="eastAsia"/>
          <w:b/>
          <w:bCs/>
          <w:lang w:val="en-US" w:eastAsia="zh-CN"/>
        </w:rPr>
        <w:t>Observation 4: Four types of UE-to-UE CLI measurements are on the table, including both direct measurement on DL subband and indirect measurement on UL subband/guard band.</w:t>
      </w:r>
    </w:p>
    <w:p>
      <w:pPr>
        <w:pStyle w:val="9"/>
        <w:bidi w:val="0"/>
        <w:rPr>
          <w:rFonts w:hint="default"/>
          <w:b/>
          <w:bCs/>
          <w:lang w:val="en-US" w:eastAsia="zh-CN"/>
        </w:rPr>
      </w:pPr>
      <w:r>
        <w:rPr>
          <w:rFonts w:hint="eastAsia"/>
          <w:b/>
          <w:bCs/>
          <w:lang w:val="en-US" w:eastAsia="zh-CN"/>
        </w:rPr>
        <w:t>Proposal 1: The measurement period requirements for the four candidate UE-to-UE CLI measurements should be discussed one by one.</w:t>
      </w:r>
    </w:p>
    <w:p>
      <w:pPr>
        <w:pStyle w:val="9"/>
        <w:bidi w:val="0"/>
        <w:rPr>
          <w:rFonts w:hint="default" w:cs="Arial"/>
          <w:lang w:val="en-US" w:eastAsia="zh-CN"/>
        </w:rPr>
      </w:pPr>
      <w:r>
        <w:rPr>
          <w:rFonts w:hint="eastAsia"/>
          <w:b/>
          <w:bCs/>
          <w:lang w:val="en-US" w:eastAsia="zh-CN"/>
        </w:rPr>
        <w:t>Proposal 2: The R19 UE-to-UE CLI is L1 measurement, instead of L3 measurement, so the legacy UE-to-UE CLI accuracy requirements can not be reused directly. Some adaptation to facilitate L1 measurement should be considered.</w:t>
      </w:r>
    </w:p>
    <w:p>
      <w:pPr>
        <w:pStyle w:val="9"/>
        <w:bidi w:val="0"/>
        <w:rPr>
          <w:rFonts w:hint="eastAsia"/>
          <w:b/>
          <w:bCs/>
          <w:lang w:val="en-US" w:eastAsia="zh-CN"/>
        </w:rPr>
      </w:pPr>
      <w:r>
        <w:rPr>
          <w:rFonts w:hint="eastAsia"/>
          <w:b/>
          <w:bCs/>
          <w:lang w:val="en-US" w:eastAsia="zh-CN"/>
        </w:rPr>
        <w:t>Proposal 3: The side condition for Method#2 should be considered from the following aspects:</w:t>
      </w:r>
    </w:p>
    <w:p>
      <w:pPr>
        <w:pStyle w:val="9"/>
        <w:numPr>
          <w:ilvl w:val="0"/>
          <w:numId w:val="12"/>
        </w:numPr>
        <w:bidi w:val="0"/>
        <w:ind w:left="840" w:leftChars="0" w:hanging="420" w:firstLineChars="0"/>
        <w:rPr>
          <w:rFonts w:hint="eastAsia"/>
          <w:b/>
          <w:bCs/>
          <w:lang w:val="en-US" w:eastAsia="zh-CN"/>
        </w:rPr>
      </w:pPr>
      <w:r>
        <w:rPr>
          <w:rFonts w:hint="default"/>
          <w:b/>
          <w:bCs/>
          <w:lang w:val="en-US" w:eastAsia="zh-CN"/>
        </w:rPr>
        <w:t>Side condition of time offset between UE’s DL reference timing in the serving cell and SRS arrival time</w:t>
      </w:r>
    </w:p>
    <w:p>
      <w:pPr>
        <w:pStyle w:val="9"/>
        <w:numPr>
          <w:ilvl w:val="0"/>
          <w:numId w:val="12"/>
        </w:numPr>
        <w:bidi w:val="0"/>
        <w:ind w:left="840" w:leftChars="0" w:hanging="420" w:firstLineChars="0"/>
        <w:rPr>
          <w:rFonts w:hint="default"/>
          <w:b/>
          <w:bCs/>
          <w:lang w:val="en-US" w:eastAsia="zh-CN"/>
        </w:rPr>
      </w:pPr>
      <w:r>
        <w:rPr>
          <w:rFonts w:hint="eastAsia"/>
          <w:b/>
          <w:bCs/>
          <w:lang w:val="en-US" w:eastAsia="zh-CN"/>
        </w:rPr>
        <w:t>Side condition of SINR</w:t>
      </w:r>
    </w:p>
    <w:p>
      <w:pPr>
        <w:pStyle w:val="9"/>
        <w:numPr>
          <w:ilvl w:val="0"/>
          <w:numId w:val="12"/>
        </w:numPr>
        <w:bidi w:val="0"/>
        <w:ind w:left="840" w:leftChars="0" w:hanging="420" w:firstLineChars="0"/>
        <w:rPr>
          <w:rFonts w:hint="default"/>
          <w:b/>
          <w:bCs/>
          <w:lang w:val="en-US" w:eastAsia="zh-CN"/>
        </w:rPr>
      </w:pPr>
      <w:r>
        <w:rPr>
          <w:rFonts w:hint="eastAsia"/>
          <w:b/>
          <w:bCs/>
          <w:lang w:val="en-US" w:eastAsia="zh-CN"/>
        </w:rPr>
        <w:t>Side condition of maximum/minimum RSRP</w:t>
      </w:r>
    </w:p>
    <w:p>
      <w:pPr>
        <w:pStyle w:val="9"/>
        <w:bidi w:val="0"/>
        <w:rPr>
          <w:rFonts w:hint="default"/>
          <w:lang w:val="en-US" w:eastAsia="zh-CN"/>
        </w:rPr>
      </w:pPr>
      <w:r>
        <w:rPr>
          <w:rFonts w:hint="eastAsia"/>
          <w:b/>
          <w:bCs/>
          <w:lang w:val="en-US" w:eastAsia="zh-CN"/>
        </w:rPr>
        <w:t>Observation 5: One main motivation of gNB-to-gNB CLI measurement is to help the victim gNB to derive the interference leakage to the UL subband since the aggressor gNB Tx at the DL subband. Besides, some spatial domain scheme could reduce or eliminate the interference.</w:t>
      </w:r>
    </w:p>
    <w:p>
      <w:pPr>
        <w:pStyle w:val="9"/>
        <w:bidi w:val="0"/>
        <w:rPr>
          <w:rFonts w:hint="eastAsia"/>
          <w:b/>
          <w:bCs/>
          <w:lang w:val="en-US" w:eastAsia="zh-CN"/>
        </w:rPr>
      </w:pPr>
      <w:r>
        <w:rPr>
          <w:rFonts w:hint="eastAsia"/>
          <w:b/>
          <w:bCs/>
          <w:lang w:val="en-US" w:eastAsia="zh-CN"/>
        </w:rPr>
        <w:t>Observation 6: Based on all candidate schemes of gNB-to-gNB CLI, four types of measurements could be considered with different measurement purpose:</w:t>
      </w:r>
    </w:p>
    <w:p>
      <w:pPr>
        <w:pStyle w:val="9"/>
        <w:numPr>
          <w:ilvl w:val="0"/>
          <w:numId w:val="17"/>
        </w:numPr>
        <w:bidi w:val="0"/>
        <w:ind w:left="420" w:leftChars="0" w:hanging="420" w:firstLineChars="0"/>
        <w:rPr>
          <w:rFonts w:hint="default"/>
          <w:b/>
          <w:bCs/>
          <w:lang w:val="en-US" w:eastAsia="zh-CN"/>
        </w:rPr>
      </w:pPr>
      <w:r>
        <w:rPr>
          <w:rFonts w:hint="default"/>
          <w:b/>
          <w:bCs/>
          <w:lang w:val="en-US" w:eastAsia="zh-CN"/>
        </w:rPr>
        <w:t>Type 1：Victim gNB measures the CLI resource to derive the channel info from aggressor gNB to victim gNB</w:t>
      </w:r>
    </w:p>
    <w:p>
      <w:pPr>
        <w:pStyle w:val="9"/>
        <w:numPr>
          <w:ilvl w:val="0"/>
          <w:numId w:val="17"/>
        </w:numPr>
        <w:bidi w:val="0"/>
        <w:ind w:left="420" w:leftChars="0" w:hanging="420" w:firstLineChars="0"/>
        <w:rPr>
          <w:rFonts w:hint="default"/>
          <w:b/>
          <w:bCs/>
          <w:lang w:val="en-US" w:eastAsia="zh-CN"/>
        </w:rPr>
      </w:pPr>
      <w:r>
        <w:rPr>
          <w:rFonts w:hint="default"/>
          <w:b/>
          <w:bCs/>
          <w:lang w:val="en-US" w:eastAsia="zh-CN"/>
        </w:rPr>
        <w:t>Type 2：Aggressor gNB measures the CLI resource and based on the reciprocity to derive the channel info from aggressor gNB to victim gNB</w:t>
      </w:r>
    </w:p>
    <w:p>
      <w:pPr>
        <w:pStyle w:val="9"/>
        <w:numPr>
          <w:ilvl w:val="0"/>
          <w:numId w:val="17"/>
        </w:numPr>
        <w:bidi w:val="0"/>
        <w:ind w:left="420" w:leftChars="0" w:hanging="420" w:firstLineChars="0"/>
        <w:rPr>
          <w:rFonts w:hint="default"/>
          <w:b/>
          <w:bCs/>
          <w:lang w:val="en-US" w:eastAsia="zh-CN"/>
        </w:rPr>
      </w:pPr>
      <w:r>
        <w:rPr>
          <w:rFonts w:hint="default"/>
          <w:b/>
          <w:bCs/>
          <w:lang w:val="en-US" w:eastAsia="zh-CN"/>
        </w:rPr>
        <w:t>Type 3：Victim gNB measures the CLI resource to obtain the RSRP/RSSI/SINR of the link from aggressor gNB to victim gNB</w:t>
      </w:r>
    </w:p>
    <w:p>
      <w:pPr>
        <w:pStyle w:val="9"/>
        <w:numPr>
          <w:ilvl w:val="0"/>
          <w:numId w:val="17"/>
        </w:numPr>
        <w:bidi w:val="0"/>
        <w:ind w:left="420" w:leftChars="0" w:hanging="420" w:firstLineChars="0"/>
        <w:rPr>
          <w:rFonts w:hint="default"/>
          <w:lang w:val="en-US" w:eastAsia="zh-CN"/>
        </w:rPr>
      </w:pPr>
      <w:r>
        <w:rPr>
          <w:rFonts w:hint="default"/>
          <w:b/>
          <w:bCs/>
          <w:lang w:val="en-US" w:eastAsia="zh-CN"/>
        </w:rPr>
        <w:t>Type 4：Victim gNB measures the CLI resource to obtain the strongest/poorest beam of the link from aggressor gNB to victim gNB</w:t>
      </w:r>
    </w:p>
    <w:p>
      <w:pPr>
        <w:pStyle w:val="9"/>
        <w:bidi w:val="0"/>
        <w:rPr>
          <w:rFonts w:hint="default"/>
          <w:lang w:val="en-US" w:eastAsia="zh-CN"/>
        </w:rPr>
      </w:pPr>
      <w:r>
        <w:rPr>
          <w:rFonts w:hint="eastAsia"/>
          <w:b/>
          <w:bCs/>
          <w:lang w:val="en-US" w:eastAsia="zh-CN"/>
        </w:rPr>
        <w:t>Proposal 4: L1 based gNB-to-gNB CLI measurement is preferred due to the relatively stable interference circumstance. If channel matrix measurement allowed, need to discuss how to define the measurement type.</w:t>
      </w:r>
    </w:p>
    <w:p>
      <w:pPr>
        <w:pStyle w:val="9"/>
        <w:bidi w:val="0"/>
        <w:rPr>
          <w:rFonts w:hint="eastAsia"/>
          <w:b/>
          <w:bCs/>
          <w:lang w:val="en-US" w:eastAsia="zh-CN"/>
        </w:rPr>
      </w:pPr>
      <w:r>
        <w:rPr>
          <w:rFonts w:hint="eastAsia"/>
          <w:b/>
          <w:bCs/>
          <w:lang w:val="en-US" w:eastAsia="zh-CN"/>
        </w:rPr>
        <w:t>Observation 7: One victim gNB may interfered by multiple aggressors. So who undertakes the gNB-to-gNB CLI resource configuration task should be considered. Whether allow the interaction between gNBs should be determined, so wait for RAN3 conclusions.</w:t>
      </w:r>
    </w:p>
    <w:p>
      <w:pPr>
        <w:pStyle w:val="9"/>
        <w:bidi w:val="0"/>
      </w:pPr>
      <w:r>
        <w:rPr>
          <w:rFonts w:hint="eastAsia"/>
          <w:b/>
          <w:bCs/>
          <w:lang w:val="en-US" w:eastAsia="zh-CN"/>
        </w:rPr>
        <w:t>Observation 8: Within all four types of measurement for gNB-to-gNB CLI, the Type 3 is not sensitive to single aggressor or multiple aggressors. While Type 1, 2, 4 are sensitive to single aggressor or multiple aggressors due to non-overlapping CLI resource are needed for multiple aggressors case.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0"/>
        <w:numPr>
          <w:ilvl w:val="0"/>
          <w:numId w:val="18"/>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 </w:t>
      </w:r>
      <w:bookmarkStart w:id="1" w:name="_Ref158037842"/>
      <w:r>
        <w:rPr>
          <w:rFonts w:hint="eastAsia"/>
          <w:color w:val="auto"/>
          <w:sz w:val="20"/>
          <w:szCs w:val="20"/>
          <w:highlight w:val="none"/>
          <w:lang w:val="en-US" w:eastAsia="zh-CN"/>
        </w:rPr>
        <w:t>RP-234035, “New WID: Evolution of NR duplex operation: Sub-band full duplex (SBFD)”, 3GPP RAN#102, 2023.</w:t>
      </w:r>
      <w:bookmarkEnd w:id="1"/>
    </w:p>
    <w:p>
      <w:pPr>
        <w:pStyle w:val="10"/>
        <w:numPr>
          <w:ilvl w:val="0"/>
          <w:numId w:val="18"/>
        </w:numPr>
        <w:ind w:leftChars="0"/>
        <w:rPr>
          <w:rFonts w:hint="eastAsia"/>
          <w:color w:val="auto"/>
          <w:sz w:val="20"/>
          <w:szCs w:val="20"/>
          <w:highlight w:val="none"/>
          <w:lang w:val="en-US" w:eastAsia="zh-CN"/>
        </w:rPr>
      </w:pPr>
      <w:r>
        <w:rPr>
          <w:rFonts w:hint="eastAsia"/>
          <w:color w:val="auto"/>
          <w:sz w:val="20"/>
          <w:szCs w:val="20"/>
          <w:highlight w:val="none"/>
          <w:lang w:val="en-US" w:eastAsia="zh-CN"/>
        </w:rPr>
        <w:t xml:space="preserve">3GPP </w:t>
      </w:r>
      <w:bookmarkStart w:id="2" w:name="specType1"/>
      <w:r>
        <w:rPr>
          <w:rFonts w:hint="eastAsia"/>
          <w:color w:val="auto"/>
          <w:sz w:val="20"/>
          <w:szCs w:val="20"/>
          <w:highlight w:val="none"/>
          <w:lang w:val="en-US" w:eastAsia="zh-CN"/>
        </w:rPr>
        <w:t>TR</w:t>
      </w:r>
      <w:bookmarkEnd w:id="2"/>
      <w:r>
        <w:rPr>
          <w:rFonts w:hint="eastAsia"/>
          <w:color w:val="auto"/>
          <w:sz w:val="20"/>
          <w:szCs w:val="20"/>
          <w:highlight w:val="none"/>
          <w:lang w:val="en-US" w:eastAsia="zh-CN"/>
        </w:rPr>
        <w:t xml:space="preserve"> </w:t>
      </w:r>
      <w:bookmarkStart w:id="3" w:name="specNumber"/>
      <w:r>
        <w:rPr>
          <w:rFonts w:hint="eastAsia"/>
          <w:color w:val="auto"/>
          <w:sz w:val="20"/>
          <w:szCs w:val="20"/>
          <w:highlight w:val="none"/>
          <w:lang w:val="en-US" w:eastAsia="zh-CN"/>
        </w:rPr>
        <w:t>38.</w:t>
      </w:r>
      <w:bookmarkEnd w:id="3"/>
      <w:r>
        <w:rPr>
          <w:rFonts w:hint="eastAsia"/>
          <w:color w:val="auto"/>
          <w:sz w:val="20"/>
          <w:szCs w:val="20"/>
          <w:highlight w:val="none"/>
          <w:lang w:val="en-US" w:eastAsia="zh-CN"/>
        </w:rPr>
        <w:t xml:space="preserve">858_i10, Study on Evolution of NR Duplex Operation, (Release </w:t>
      </w:r>
      <w:bookmarkStart w:id="4" w:name="specRelease"/>
      <w:r>
        <w:rPr>
          <w:rFonts w:hint="eastAsia"/>
          <w:color w:val="auto"/>
          <w:sz w:val="20"/>
          <w:szCs w:val="20"/>
          <w:highlight w:val="none"/>
          <w:lang w:val="en-US" w:eastAsia="zh-CN"/>
        </w:rPr>
        <w:t>18</w:t>
      </w:r>
      <w:bookmarkEnd w:id="4"/>
      <w:r>
        <w:rPr>
          <w:rFonts w:hint="eastAsia"/>
          <w:color w:val="auto"/>
          <w:sz w:val="20"/>
          <w:szCs w:val="20"/>
          <w:highlight w:val="none"/>
          <w:lang w:val="en-US" w:eastAsia="zh-CN"/>
        </w:rPr>
        <w:t xml:space="preserve">). </w:t>
      </w:r>
    </w:p>
    <w:p>
      <w:pPr>
        <w:pStyle w:val="10"/>
        <w:numPr>
          <w:ilvl w:val="0"/>
          <w:numId w:val="18"/>
        </w:numPr>
        <w:ind w:leftChars="0"/>
        <w:rPr>
          <w:rFonts w:hint="eastAsia"/>
          <w:color w:val="auto"/>
          <w:sz w:val="20"/>
          <w:szCs w:val="20"/>
          <w:highlight w:val="none"/>
          <w:lang w:val="en-US" w:eastAsia="zh-CN"/>
        </w:rPr>
      </w:pPr>
      <w:r>
        <w:rPr>
          <w:rFonts w:hint="eastAsia"/>
          <w:color w:val="auto"/>
          <w:sz w:val="20"/>
          <w:szCs w:val="20"/>
          <w:highlight w:val="none"/>
          <w:lang w:val="en-US" w:eastAsia="zh-CN"/>
        </w:rPr>
        <w:t>Final_Minutes_report_RAN1#116_v100</w:t>
      </w:r>
    </w:p>
    <w:p>
      <w:pPr>
        <w:pStyle w:val="10"/>
        <w:numPr>
          <w:ilvl w:val="0"/>
          <w:numId w:val="18"/>
        </w:numPr>
        <w:ind w:leftChars="0"/>
        <w:rPr>
          <w:rFonts w:hint="eastAsia"/>
          <w:color w:val="auto"/>
          <w:sz w:val="20"/>
          <w:szCs w:val="20"/>
          <w:highlight w:val="none"/>
          <w:lang w:val="en-US" w:eastAsia="zh-CN"/>
        </w:rPr>
      </w:pPr>
      <w:r>
        <w:rPr>
          <w:rFonts w:hint="eastAsia"/>
          <w:color w:val="auto"/>
          <w:sz w:val="20"/>
          <w:szCs w:val="20"/>
          <w:highlight w:val="none"/>
          <w:lang w:val="en-US" w:eastAsia="zh-CN"/>
        </w:rPr>
        <w:t>Final_Minutes_report_RAN1#116b_v100</w:t>
      </w:r>
    </w:p>
    <w:p>
      <w:pPr>
        <w:pStyle w:val="10"/>
        <w:numPr>
          <w:ilvl w:val="0"/>
          <w:numId w:val="18"/>
        </w:numPr>
        <w:ind w:leftChars="0"/>
        <w:rPr>
          <w:rFonts w:hint="eastAsia"/>
          <w:color w:val="auto"/>
          <w:sz w:val="20"/>
          <w:szCs w:val="20"/>
          <w:highlight w:val="none"/>
          <w:lang w:val="en-US" w:eastAsia="zh-CN"/>
        </w:rPr>
      </w:pPr>
      <w:r>
        <w:rPr>
          <w:rFonts w:hint="eastAsia"/>
          <w:color w:val="auto"/>
          <w:sz w:val="20"/>
          <w:szCs w:val="20"/>
          <w:highlight w:val="none"/>
          <w:lang w:val="en-US" w:eastAsia="zh-CN"/>
        </w:rPr>
        <w:t>Final_Minutes_report_RAN1#117_v020</w:t>
      </w:r>
    </w:p>
    <w:p>
      <w:pPr>
        <w:pStyle w:val="10"/>
        <w:numPr>
          <w:ilvl w:val="0"/>
          <w:numId w:val="18"/>
        </w:numPr>
        <w:ind w:leftChars="0"/>
        <w:rPr>
          <w:rFonts w:hint="eastAsia"/>
          <w:color w:val="auto"/>
          <w:sz w:val="20"/>
          <w:szCs w:val="20"/>
          <w:highlight w:val="none"/>
          <w:lang w:val="en-US" w:eastAsia="zh-CN"/>
        </w:rPr>
      </w:pPr>
      <w:r>
        <w:rPr>
          <w:rFonts w:hint="eastAsia"/>
          <w:color w:val="auto"/>
          <w:sz w:val="20"/>
          <w:szCs w:val="20"/>
          <w:highlight w:val="none"/>
          <w:lang w:val="en-US" w:eastAsia="zh-CN"/>
        </w:rPr>
        <w:t>TS 38.133_i50.</w:t>
      </w: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eastAsia"/>
          <w:color w:val="auto"/>
          <w:sz w:val="20"/>
          <w:szCs w:val="20"/>
          <w:highlight w:val="none"/>
          <w:lang w:val="en-US" w:eastAsia="zh-CN"/>
        </w:rPr>
      </w:pPr>
    </w:p>
    <w:p>
      <w:pPr>
        <w:pStyle w:val="10"/>
        <w:numPr>
          <w:ilvl w:val="0"/>
          <w:numId w:val="0"/>
        </w:numPr>
        <w:ind w:leftChars="0"/>
        <w:rPr>
          <w:rFonts w:hint="default" w:eastAsia="宋体"/>
          <w:color w:val="auto"/>
          <w:lang w:val="en-US" w:eastAsia="zh-CN"/>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Segoe UI">
    <w:panose1 w:val="020B0502040204020203"/>
    <w:charset w:val="00"/>
    <w:family w:val="swiss"/>
    <w:pitch w:val="default"/>
    <w:sig w:usb0="E10022FF" w:usb1="C000E47F" w:usb2="00000029" w:usb3="00000000" w:csb0="200001DF" w:csb1="20000000"/>
  </w:font>
  <w:font w:name="Times">
    <w:altName w:val="Times New Roman"/>
    <w:panose1 w:val="02020603050405020304"/>
    <w:charset w:val="00"/>
    <w:family w:val="roman"/>
    <w:pitch w:val="default"/>
    <w:sig w:usb0="00000000" w:usb1="00000000" w:usb2="00000009" w:usb3="00000000" w:csb0="000001FF" w:csb1="00000000"/>
  </w:font>
  <w:font w:name="DengXian">
    <w:altName w:val="宋体"/>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47F5B"/>
    <w:multiLevelType w:val="multilevel"/>
    <w:tmpl w:val="97347F5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Segoe UI" w:hAnsi="Segoe UI"/>
      </w:rPr>
    </w:lvl>
    <w:lvl w:ilvl="2" w:tentative="0">
      <w:start w:val="1"/>
      <w:numFmt w:val="bullet"/>
      <w:lvlText w:val=""/>
      <w:lvlJc w:val="left"/>
      <w:pPr>
        <w:tabs>
          <w:tab w:val="left" w:pos="1260"/>
        </w:tabs>
        <w:ind w:left="1260" w:leftChars="0" w:hanging="420" w:firstLineChars="0"/>
      </w:pPr>
      <w:rPr>
        <w:rFonts w:hint="default" w:ascii="Segoe UI" w:hAnsi="Segoe UI"/>
      </w:rPr>
    </w:lvl>
    <w:lvl w:ilvl="3" w:tentative="0">
      <w:start w:val="1"/>
      <w:numFmt w:val="bullet"/>
      <w:lvlText w:val=""/>
      <w:lvlJc w:val="left"/>
      <w:pPr>
        <w:tabs>
          <w:tab w:val="left" w:pos="1680"/>
        </w:tabs>
        <w:ind w:left="1680" w:leftChars="0" w:hanging="420" w:firstLineChars="0"/>
      </w:pPr>
      <w:rPr>
        <w:rFonts w:hint="default" w:ascii="Segoe UI" w:hAnsi="Segoe UI"/>
      </w:rPr>
    </w:lvl>
    <w:lvl w:ilvl="4" w:tentative="0">
      <w:start w:val="1"/>
      <w:numFmt w:val="bullet"/>
      <w:lvlText w:val=""/>
      <w:lvlJc w:val="left"/>
      <w:pPr>
        <w:tabs>
          <w:tab w:val="left" w:pos="2100"/>
        </w:tabs>
        <w:ind w:left="2100" w:leftChars="0" w:hanging="420" w:firstLineChars="0"/>
      </w:pPr>
      <w:rPr>
        <w:rFonts w:hint="default" w:ascii="Segoe UI" w:hAnsi="Segoe UI"/>
      </w:rPr>
    </w:lvl>
    <w:lvl w:ilvl="5" w:tentative="0">
      <w:start w:val="1"/>
      <w:numFmt w:val="bullet"/>
      <w:lvlText w:val=""/>
      <w:lvlJc w:val="left"/>
      <w:pPr>
        <w:tabs>
          <w:tab w:val="left" w:pos="2520"/>
        </w:tabs>
        <w:ind w:left="2520" w:leftChars="0" w:hanging="420" w:firstLineChars="0"/>
      </w:pPr>
      <w:rPr>
        <w:rFonts w:hint="default" w:ascii="Segoe UI" w:hAnsi="Segoe UI"/>
      </w:rPr>
    </w:lvl>
    <w:lvl w:ilvl="6" w:tentative="0">
      <w:start w:val="1"/>
      <w:numFmt w:val="bullet"/>
      <w:lvlText w:val=""/>
      <w:lvlJc w:val="left"/>
      <w:pPr>
        <w:tabs>
          <w:tab w:val="left" w:pos="2940"/>
        </w:tabs>
        <w:ind w:left="2940" w:leftChars="0" w:hanging="420" w:firstLineChars="0"/>
      </w:pPr>
      <w:rPr>
        <w:rFonts w:hint="default" w:ascii="Segoe UI" w:hAnsi="Segoe UI"/>
      </w:rPr>
    </w:lvl>
    <w:lvl w:ilvl="7" w:tentative="0">
      <w:start w:val="1"/>
      <w:numFmt w:val="bullet"/>
      <w:lvlText w:val=""/>
      <w:lvlJc w:val="left"/>
      <w:pPr>
        <w:tabs>
          <w:tab w:val="left" w:pos="3360"/>
        </w:tabs>
        <w:ind w:left="3360" w:leftChars="0" w:hanging="420" w:firstLineChars="0"/>
      </w:pPr>
      <w:rPr>
        <w:rFonts w:hint="default" w:ascii="Segoe UI" w:hAnsi="Segoe UI"/>
      </w:rPr>
    </w:lvl>
    <w:lvl w:ilvl="8" w:tentative="0">
      <w:start w:val="1"/>
      <w:numFmt w:val="bullet"/>
      <w:lvlText w:val=""/>
      <w:lvlJc w:val="left"/>
      <w:pPr>
        <w:tabs>
          <w:tab w:val="left" w:pos="3780"/>
        </w:tabs>
        <w:ind w:left="3780" w:leftChars="0" w:hanging="420" w:firstLineChars="0"/>
      </w:pPr>
      <w:rPr>
        <w:rFonts w:hint="default" w:ascii="Segoe UI" w:hAnsi="Segoe UI"/>
      </w:rPr>
    </w:lvl>
  </w:abstractNum>
  <w:abstractNum w:abstractNumId="1">
    <w:nsid w:val="AAFAF953"/>
    <w:multiLevelType w:val="singleLevel"/>
    <w:tmpl w:val="AAFAF953"/>
    <w:lvl w:ilvl="0" w:tentative="0">
      <w:start w:val="1"/>
      <w:numFmt w:val="decimal"/>
      <w:suff w:val="space"/>
      <w:lvlText w:val="%1)"/>
      <w:lvlJc w:val="left"/>
    </w:lvl>
  </w:abstractNum>
  <w:abstractNum w:abstractNumId="2">
    <w:nsid w:val="BAD0E00A"/>
    <w:multiLevelType w:val="singleLevel"/>
    <w:tmpl w:val="BAD0E00A"/>
    <w:lvl w:ilvl="0" w:tentative="0">
      <w:start w:val="1"/>
      <w:numFmt w:val="bullet"/>
      <w:lvlText w:val=""/>
      <w:lvlJc w:val="left"/>
      <w:pPr>
        <w:tabs>
          <w:tab w:val="left" w:pos="420"/>
        </w:tabs>
        <w:ind w:left="840" w:hanging="420"/>
      </w:pPr>
      <w:rPr>
        <w:rFonts w:hint="default" w:ascii="Wingdings" w:hAnsi="Wingdings"/>
      </w:rPr>
    </w:lvl>
  </w:abstractNum>
  <w:abstractNum w:abstractNumId="3">
    <w:nsid w:val="BD00F6CC"/>
    <w:multiLevelType w:val="singleLevel"/>
    <w:tmpl w:val="BD00F6CC"/>
    <w:lvl w:ilvl="0" w:tentative="0">
      <w:start w:val="1"/>
      <w:numFmt w:val="bullet"/>
      <w:lvlText w:val=""/>
      <w:lvlJc w:val="left"/>
      <w:pPr>
        <w:tabs>
          <w:tab w:val="left" w:pos="420"/>
        </w:tabs>
        <w:ind w:left="840" w:hanging="420"/>
      </w:pPr>
      <w:rPr>
        <w:rFonts w:hint="default" w:ascii="Wingdings" w:hAnsi="Wingdings"/>
      </w:rPr>
    </w:lvl>
  </w:abstractNum>
  <w:abstractNum w:abstractNumId="4">
    <w:nsid w:val="C6E89EDC"/>
    <w:multiLevelType w:val="singleLevel"/>
    <w:tmpl w:val="C6E89EDC"/>
    <w:lvl w:ilvl="0" w:tentative="0">
      <w:start w:val="1"/>
      <w:numFmt w:val="bullet"/>
      <w:lvlText w:val=""/>
      <w:lvlJc w:val="left"/>
      <w:pPr>
        <w:ind w:left="420" w:hanging="420"/>
      </w:pPr>
      <w:rPr>
        <w:rFonts w:hint="default" w:ascii="Wingdings" w:hAnsi="Wingdings"/>
      </w:rPr>
    </w:lvl>
  </w:abstractNum>
  <w:abstractNum w:abstractNumId="5">
    <w:nsid w:val="DB4C62D6"/>
    <w:multiLevelType w:val="singleLevel"/>
    <w:tmpl w:val="DB4C62D6"/>
    <w:lvl w:ilvl="0" w:tentative="0">
      <w:start w:val="1"/>
      <w:numFmt w:val="bullet"/>
      <w:lvlText w:val=""/>
      <w:lvlJc w:val="left"/>
      <w:pPr>
        <w:ind w:left="420" w:hanging="420"/>
      </w:pPr>
      <w:rPr>
        <w:rFonts w:hint="default" w:ascii="Wingdings" w:hAnsi="Wingdings"/>
      </w:rPr>
    </w:lvl>
  </w:abstractNum>
  <w:abstractNum w:abstractNumId="6">
    <w:nsid w:val="DC4FDA6D"/>
    <w:multiLevelType w:val="singleLevel"/>
    <w:tmpl w:val="DC4FDA6D"/>
    <w:lvl w:ilvl="0" w:tentative="0">
      <w:start w:val="1"/>
      <w:numFmt w:val="decimal"/>
      <w:suff w:val="space"/>
      <w:lvlText w:val="[%1]"/>
      <w:lvlJc w:val="left"/>
    </w:lvl>
  </w:abstractNum>
  <w:abstractNum w:abstractNumId="7">
    <w:nsid w:val="DD940769"/>
    <w:multiLevelType w:val="singleLevel"/>
    <w:tmpl w:val="DD940769"/>
    <w:lvl w:ilvl="0" w:tentative="0">
      <w:start w:val="1"/>
      <w:numFmt w:val="bullet"/>
      <w:lvlText w:val=""/>
      <w:lvlJc w:val="left"/>
      <w:pPr>
        <w:tabs>
          <w:tab w:val="left" w:pos="420"/>
        </w:tabs>
        <w:ind w:left="840" w:hanging="420"/>
      </w:pPr>
      <w:rPr>
        <w:rFonts w:hint="default" w:ascii="Wingdings" w:hAnsi="Wingdings"/>
      </w:rPr>
    </w:lvl>
  </w:abstractNum>
  <w:abstractNum w:abstractNumId="8">
    <w:nsid w:val="DD98CB44"/>
    <w:multiLevelType w:val="singleLevel"/>
    <w:tmpl w:val="DD98CB44"/>
    <w:lvl w:ilvl="0" w:tentative="0">
      <w:start w:val="1"/>
      <w:numFmt w:val="bullet"/>
      <w:lvlText w:val=""/>
      <w:lvlJc w:val="left"/>
      <w:pPr>
        <w:tabs>
          <w:tab w:val="left" w:pos="420"/>
        </w:tabs>
        <w:ind w:left="840" w:hanging="420"/>
      </w:pPr>
      <w:rPr>
        <w:rFonts w:hint="default" w:ascii="Wingdings" w:hAnsi="Wingdings"/>
      </w:rPr>
    </w:lvl>
  </w:abstractNum>
  <w:abstractNum w:abstractNumId="9">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0">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1">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484765A8"/>
    <w:multiLevelType w:val="multilevel"/>
    <w:tmpl w:val="484765A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Segoe UI" w:hAnsi="Segoe UI"/>
      </w:rPr>
    </w:lvl>
    <w:lvl w:ilvl="2" w:tentative="0">
      <w:start w:val="1"/>
      <w:numFmt w:val="bullet"/>
      <w:lvlText w:val=""/>
      <w:lvlJc w:val="left"/>
      <w:pPr>
        <w:tabs>
          <w:tab w:val="left" w:pos="1260"/>
        </w:tabs>
        <w:ind w:left="1260" w:leftChars="0" w:hanging="420" w:firstLineChars="0"/>
      </w:pPr>
      <w:rPr>
        <w:rFonts w:hint="default" w:ascii="Segoe UI" w:hAnsi="Segoe UI"/>
      </w:rPr>
    </w:lvl>
    <w:lvl w:ilvl="3" w:tentative="0">
      <w:start w:val="1"/>
      <w:numFmt w:val="bullet"/>
      <w:lvlText w:val=""/>
      <w:lvlJc w:val="left"/>
      <w:pPr>
        <w:tabs>
          <w:tab w:val="left" w:pos="1680"/>
        </w:tabs>
        <w:ind w:left="1680" w:leftChars="0" w:hanging="420" w:firstLineChars="0"/>
      </w:pPr>
      <w:rPr>
        <w:rFonts w:hint="default" w:ascii="Segoe UI" w:hAnsi="Segoe UI"/>
      </w:rPr>
    </w:lvl>
    <w:lvl w:ilvl="4" w:tentative="0">
      <w:start w:val="1"/>
      <w:numFmt w:val="bullet"/>
      <w:lvlText w:val=""/>
      <w:lvlJc w:val="left"/>
      <w:pPr>
        <w:tabs>
          <w:tab w:val="left" w:pos="2100"/>
        </w:tabs>
        <w:ind w:left="2100" w:leftChars="0" w:hanging="420" w:firstLineChars="0"/>
      </w:pPr>
      <w:rPr>
        <w:rFonts w:hint="default" w:ascii="Segoe UI" w:hAnsi="Segoe UI"/>
      </w:rPr>
    </w:lvl>
    <w:lvl w:ilvl="5" w:tentative="0">
      <w:start w:val="1"/>
      <w:numFmt w:val="bullet"/>
      <w:lvlText w:val=""/>
      <w:lvlJc w:val="left"/>
      <w:pPr>
        <w:tabs>
          <w:tab w:val="left" w:pos="2520"/>
        </w:tabs>
        <w:ind w:left="2520" w:leftChars="0" w:hanging="420" w:firstLineChars="0"/>
      </w:pPr>
      <w:rPr>
        <w:rFonts w:hint="default" w:ascii="Segoe UI" w:hAnsi="Segoe UI"/>
      </w:rPr>
    </w:lvl>
    <w:lvl w:ilvl="6" w:tentative="0">
      <w:start w:val="1"/>
      <w:numFmt w:val="bullet"/>
      <w:lvlText w:val=""/>
      <w:lvlJc w:val="left"/>
      <w:pPr>
        <w:tabs>
          <w:tab w:val="left" w:pos="2940"/>
        </w:tabs>
        <w:ind w:left="2940" w:leftChars="0" w:hanging="420" w:firstLineChars="0"/>
      </w:pPr>
      <w:rPr>
        <w:rFonts w:hint="default" w:ascii="Segoe UI" w:hAnsi="Segoe UI"/>
      </w:rPr>
    </w:lvl>
    <w:lvl w:ilvl="7" w:tentative="0">
      <w:start w:val="1"/>
      <w:numFmt w:val="bullet"/>
      <w:lvlText w:val=""/>
      <w:lvlJc w:val="left"/>
      <w:pPr>
        <w:tabs>
          <w:tab w:val="left" w:pos="3360"/>
        </w:tabs>
        <w:ind w:left="3360" w:leftChars="0" w:hanging="420" w:firstLineChars="0"/>
      </w:pPr>
      <w:rPr>
        <w:rFonts w:hint="default" w:ascii="Segoe UI" w:hAnsi="Segoe UI"/>
      </w:rPr>
    </w:lvl>
    <w:lvl w:ilvl="8" w:tentative="0">
      <w:start w:val="1"/>
      <w:numFmt w:val="bullet"/>
      <w:lvlText w:val=""/>
      <w:lvlJc w:val="left"/>
      <w:pPr>
        <w:tabs>
          <w:tab w:val="left" w:pos="3780"/>
        </w:tabs>
        <w:ind w:left="3780" w:leftChars="0" w:hanging="420" w:firstLineChars="0"/>
      </w:pPr>
      <w:rPr>
        <w:rFonts w:hint="default" w:ascii="Segoe UI" w:hAnsi="Segoe UI"/>
      </w:rPr>
    </w:lvl>
  </w:abstractNum>
  <w:abstractNum w:abstractNumId="13">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5">
    <w:nsid w:val="7944F054"/>
    <w:multiLevelType w:val="singleLevel"/>
    <w:tmpl w:val="7944F054"/>
    <w:lvl w:ilvl="0" w:tentative="0">
      <w:start w:val="1"/>
      <w:numFmt w:val="bullet"/>
      <w:lvlText w:val=""/>
      <w:lvlJc w:val="left"/>
      <w:pPr>
        <w:tabs>
          <w:tab w:val="left" w:pos="0"/>
        </w:tabs>
        <w:ind w:left="420" w:hanging="420"/>
      </w:pPr>
      <w:rPr>
        <w:rFonts w:hint="default" w:ascii="Wingdings" w:hAnsi="Wingdings"/>
      </w:rPr>
    </w:lvl>
  </w:abstractNum>
  <w:abstractNum w:abstractNumId="16">
    <w:nsid w:val="79807013"/>
    <w:multiLevelType w:val="singleLevel"/>
    <w:tmpl w:val="79807013"/>
    <w:lvl w:ilvl="0" w:tentative="0">
      <w:start w:val="1"/>
      <w:numFmt w:val="bullet"/>
      <w:lvlText w:val=""/>
      <w:lvlJc w:val="left"/>
      <w:pPr>
        <w:tabs>
          <w:tab w:val="left" w:pos="420"/>
        </w:tabs>
        <w:ind w:left="840" w:hanging="420"/>
      </w:pPr>
      <w:rPr>
        <w:rFonts w:hint="default" w:ascii="Wingdings" w:hAnsi="Wingdings"/>
      </w:rPr>
    </w:lvl>
  </w:abstractNum>
  <w:abstractNum w:abstractNumId="17">
    <w:nsid w:val="7AC23507"/>
    <w:multiLevelType w:val="singleLevel"/>
    <w:tmpl w:val="7AC23507"/>
    <w:lvl w:ilvl="0" w:tentative="0">
      <w:start w:val="1"/>
      <w:numFmt w:val="bullet"/>
      <w:lvlText w:val=""/>
      <w:lvlJc w:val="left"/>
      <w:pPr>
        <w:ind w:left="420" w:hanging="420"/>
      </w:pPr>
      <w:rPr>
        <w:rFonts w:hint="default" w:ascii="Wingdings" w:hAnsi="Wingdings"/>
      </w:rPr>
    </w:lvl>
  </w:abstractNum>
  <w:num w:numId="1">
    <w:abstractNumId w:val="14"/>
  </w:num>
  <w:num w:numId="2">
    <w:abstractNumId w:val="13"/>
  </w:num>
  <w:num w:numId="3">
    <w:abstractNumId w:val="9"/>
  </w:num>
  <w:num w:numId="4">
    <w:abstractNumId w:val="10"/>
  </w:num>
  <w:num w:numId="5">
    <w:abstractNumId w:val="5"/>
  </w:num>
  <w:num w:numId="6">
    <w:abstractNumId w:val="12"/>
  </w:num>
  <w:num w:numId="7">
    <w:abstractNumId w:val="4"/>
  </w:num>
  <w:num w:numId="8">
    <w:abstractNumId w:val="8"/>
  </w:num>
  <w:num w:numId="9">
    <w:abstractNumId w:val="2"/>
  </w:num>
  <w:num w:numId="10">
    <w:abstractNumId w:val="1"/>
  </w:num>
  <w:num w:numId="11">
    <w:abstractNumId w:val="11"/>
  </w:num>
  <w:num w:numId="12">
    <w:abstractNumId w:val="3"/>
  </w:num>
  <w:num w:numId="13">
    <w:abstractNumId w:val="17"/>
  </w:num>
  <w:num w:numId="14">
    <w:abstractNumId w:val="7"/>
  </w:num>
  <w:num w:numId="15">
    <w:abstractNumId w:val="0"/>
  </w:num>
  <w:num w:numId="16">
    <w:abstractNumId w:val="16"/>
  </w:num>
  <w:num w:numId="17">
    <w:abstractNumId w:val="1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0CB4"/>
    <w:rsid w:val="000B11A8"/>
    <w:rsid w:val="000B1C0B"/>
    <w:rsid w:val="000B24FA"/>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378"/>
    <w:rsid w:val="000D46CC"/>
    <w:rsid w:val="000D564A"/>
    <w:rsid w:val="000D5B1C"/>
    <w:rsid w:val="000D6C6E"/>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083"/>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E6B2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35D"/>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2992"/>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0C0A"/>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0D68"/>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020"/>
    <w:rsid w:val="00702864"/>
    <w:rsid w:val="007043BD"/>
    <w:rsid w:val="007046C6"/>
    <w:rsid w:val="00704CB0"/>
    <w:rsid w:val="00705B20"/>
    <w:rsid w:val="00705D19"/>
    <w:rsid w:val="00705ED7"/>
    <w:rsid w:val="00707604"/>
    <w:rsid w:val="007078BB"/>
    <w:rsid w:val="00710422"/>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60C2"/>
    <w:rsid w:val="00826F40"/>
    <w:rsid w:val="0082735D"/>
    <w:rsid w:val="008275BF"/>
    <w:rsid w:val="00827675"/>
    <w:rsid w:val="00827788"/>
    <w:rsid w:val="00827B2A"/>
    <w:rsid w:val="00827C60"/>
    <w:rsid w:val="008318E5"/>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2BC"/>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7794B"/>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20AB"/>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E7B00"/>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09E8"/>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271"/>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2CF8"/>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53989"/>
    <w:rsid w:val="010B74FE"/>
    <w:rsid w:val="011736F3"/>
    <w:rsid w:val="01331776"/>
    <w:rsid w:val="013F36CE"/>
    <w:rsid w:val="015D74DE"/>
    <w:rsid w:val="018C289C"/>
    <w:rsid w:val="0192268C"/>
    <w:rsid w:val="01997316"/>
    <w:rsid w:val="01AC4740"/>
    <w:rsid w:val="01AF002B"/>
    <w:rsid w:val="01C32830"/>
    <w:rsid w:val="01DA1350"/>
    <w:rsid w:val="01DF5493"/>
    <w:rsid w:val="01F8458D"/>
    <w:rsid w:val="02201C06"/>
    <w:rsid w:val="02213226"/>
    <w:rsid w:val="023147A4"/>
    <w:rsid w:val="023E2814"/>
    <w:rsid w:val="023F4218"/>
    <w:rsid w:val="02441D28"/>
    <w:rsid w:val="024C7EDF"/>
    <w:rsid w:val="026123BD"/>
    <w:rsid w:val="026736F8"/>
    <w:rsid w:val="02793D66"/>
    <w:rsid w:val="027A396D"/>
    <w:rsid w:val="0289759D"/>
    <w:rsid w:val="028A6605"/>
    <w:rsid w:val="028B6A1D"/>
    <w:rsid w:val="028F1C3E"/>
    <w:rsid w:val="02D4144C"/>
    <w:rsid w:val="02D632EB"/>
    <w:rsid w:val="02D9227A"/>
    <w:rsid w:val="02FB11D4"/>
    <w:rsid w:val="03174CBD"/>
    <w:rsid w:val="03192F2B"/>
    <w:rsid w:val="03271B39"/>
    <w:rsid w:val="033222AF"/>
    <w:rsid w:val="03390FF5"/>
    <w:rsid w:val="034216A6"/>
    <w:rsid w:val="035042F5"/>
    <w:rsid w:val="03527DC7"/>
    <w:rsid w:val="03552799"/>
    <w:rsid w:val="035B40C3"/>
    <w:rsid w:val="037709BE"/>
    <w:rsid w:val="037D0CB3"/>
    <w:rsid w:val="03BA7C92"/>
    <w:rsid w:val="03BF7557"/>
    <w:rsid w:val="03C36414"/>
    <w:rsid w:val="03CC4B57"/>
    <w:rsid w:val="03D24498"/>
    <w:rsid w:val="03D4720A"/>
    <w:rsid w:val="03F2253D"/>
    <w:rsid w:val="04002E3E"/>
    <w:rsid w:val="041A3DB6"/>
    <w:rsid w:val="043075B1"/>
    <w:rsid w:val="0449798F"/>
    <w:rsid w:val="0453753A"/>
    <w:rsid w:val="045A5C38"/>
    <w:rsid w:val="04654053"/>
    <w:rsid w:val="046B34D6"/>
    <w:rsid w:val="046D3DD6"/>
    <w:rsid w:val="046F3AAD"/>
    <w:rsid w:val="04793516"/>
    <w:rsid w:val="047A3CFF"/>
    <w:rsid w:val="048960D6"/>
    <w:rsid w:val="04965F37"/>
    <w:rsid w:val="049E4425"/>
    <w:rsid w:val="04A17C34"/>
    <w:rsid w:val="04A97D90"/>
    <w:rsid w:val="04B13CDD"/>
    <w:rsid w:val="04B462CA"/>
    <w:rsid w:val="04B542BF"/>
    <w:rsid w:val="04D86586"/>
    <w:rsid w:val="05000AB1"/>
    <w:rsid w:val="05317828"/>
    <w:rsid w:val="053431DE"/>
    <w:rsid w:val="0539494E"/>
    <w:rsid w:val="05477E90"/>
    <w:rsid w:val="056768FD"/>
    <w:rsid w:val="056942FD"/>
    <w:rsid w:val="056F2F5E"/>
    <w:rsid w:val="05713564"/>
    <w:rsid w:val="05734D57"/>
    <w:rsid w:val="057607A6"/>
    <w:rsid w:val="057A3ED1"/>
    <w:rsid w:val="057E1E64"/>
    <w:rsid w:val="058A7125"/>
    <w:rsid w:val="059A073C"/>
    <w:rsid w:val="05A13D19"/>
    <w:rsid w:val="05A25649"/>
    <w:rsid w:val="05A3740D"/>
    <w:rsid w:val="05BB5AB9"/>
    <w:rsid w:val="05C42923"/>
    <w:rsid w:val="05D22BAE"/>
    <w:rsid w:val="05DA1E27"/>
    <w:rsid w:val="05F04135"/>
    <w:rsid w:val="05F27EC0"/>
    <w:rsid w:val="05F74C0D"/>
    <w:rsid w:val="05FD20D2"/>
    <w:rsid w:val="060923CE"/>
    <w:rsid w:val="060F678F"/>
    <w:rsid w:val="06221798"/>
    <w:rsid w:val="06233B87"/>
    <w:rsid w:val="063B6F48"/>
    <w:rsid w:val="06462CE4"/>
    <w:rsid w:val="066E6CB6"/>
    <w:rsid w:val="06813EB6"/>
    <w:rsid w:val="06963BA6"/>
    <w:rsid w:val="06965F3C"/>
    <w:rsid w:val="069A0DB7"/>
    <w:rsid w:val="06A430F4"/>
    <w:rsid w:val="06A732F8"/>
    <w:rsid w:val="06BF7338"/>
    <w:rsid w:val="06C40C29"/>
    <w:rsid w:val="06CB5067"/>
    <w:rsid w:val="06CC21D9"/>
    <w:rsid w:val="06D2721D"/>
    <w:rsid w:val="06E87421"/>
    <w:rsid w:val="06F15E1D"/>
    <w:rsid w:val="06F2189D"/>
    <w:rsid w:val="070B7354"/>
    <w:rsid w:val="07192D61"/>
    <w:rsid w:val="072A67BD"/>
    <w:rsid w:val="0730075A"/>
    <w:rsid w:val="073E6558"/>
    <w:rsid w:val="074D5303"/>
    <w:rsid w:val="07516DF0"/>
    <w:rsid w:val="07591FC7"/>
    <w:rsid w:val="07674933"/>
    <w:rsid w:val="077016F0"/>
    <w:rsid w:val="0774438D"/>
    <w:rsid w:val="079B4DA3"/>
    <w:rsid w:val="07CD3CDD"/>
    <w:rsid w:val="07CE116F"/>
    <w:rsid w:val="07DC5FE3"/>
    <w:rsid w:val="07E51502"/>
    <w:rsid w:val="07F37416"/>
    <w:rsid w:val="080A3AE6"/>
    <w:rsid w:val="080F6EA0"/>
    <w:rsid w:val="083C577C"/>
    <w:rsid w:val="08494E41"/>
    <w:rsid w:val="084F1856"/>
    <w:rsid w:val="0855671D"/>
    <w:rsid w:val="08604274"/>
    <w:rsid w:val="086A442F"/>
    <w:rsid w:val="089009EB"/>
    <w:rsid w:val="08A10821"/>
    <w:rsid w:val="08A9721B"/>
    <w:rsid w:val="08AC533F"/>
    <w:rsid w:val="08B03C7C"/>
    <w:rsid w:val="08D25301"/>
    <w:rsid w:val="08DC1C1B"/>
    <w:rsid w:val="08E5253F"/>
    <w:rsid w:val="08EE38FB"/>
    <w:rsid w:val="08EF63A8"/>
    <w:rsid w:val="08F76B7A"/>
    <w:rsid w:val="08F87AC6"/>
    <w:rsid w:val="08FF2105"/>
    <w:rsid w:val="090E6873"/>
    <w:rsid w:val="092D77C1"/>
    <w:rsid w:val="092F3F55"/>
    <w:rsid w:val="093130D5"/>
    <w:rsid w:val="09324384"/>
    <w:rsid w:val="093E66C6"/>
    <w:rsid w:val="09591064"/>
    <w:rsid w:val="096E3BE0"/>
    <w:rsid w:val="09716BCA"/>
    <w:rsid w:val="097F0986"/>
    <w:rsid w:val="09855ADC"/>
    <w:rsid w:val="099A5B81"/>
    <w:rsid w:val="09A938FC"/>
    <w:rsid w:val="09AF7A99"/>
    <w:rsid w:val="09B43E60"/>
    <w:rsid w:val="09C53F70"/>
    <w:rsid w:val="09D64B23"/>
    <w:rsid w:val="09D92D83"/>
    <w:rsid w:val="09E6289B"/>
    <w:rsid w:val="09E644B8"/>
    <w:rsid w:val="09F45172"/>
    <w:rsid w:val="0A041656"/>
    <w:rsid w:val="0A0A79AC"/>
    <w:rsid w:val="0A0F23B7"/>
    <w:rsid w:val="0A1A31A1"/>
    <w:rsid w:val="0A1E5F47"/>
    <w:rsid w:val="0A3A507F"/>
    <w:rsid w:val="0A5F6393"/>
    <w:rsid w:val="0A70282B"/>
    <w:rsid w:val="0A992429"/>
    <w:rsid w:val="0AAC36DF"/>
    <w:rsid w:val="0AD017A1"/>
    <w:rsid w:val="0AE47427"/>
    <w:rsid w:val="0AEB4F7E"/>
    <w:rsid w:val="0B0362DC"/>
    <w:rsid w:val="0B12013A"/>
    <w:rsid w:val="0B1E364C"/>
    <w:rsid w:val="0B2D2436"/>
    <w:rsid w:val="0B3D3C2F"/>
    <w:rsid w:val="0B536C7D"/>
    <w:rsid w:val="0B5F1776"/>
    <w:rsid w:val="0B6E169D"/>
    <w:rsid w:val="0B735EF6"/>
    <w:rsid w:val="0B8D76AE"/>
    <w:rsid w:val="0B936E01"/>
    <w:rsid w:val="0B993DEF"/>
    <w:rsid w:val="0BAF5541"/>
    <w:rsid w:val="0BB0429A"/>
    <w:rsid w:val="0BB97253"/>
    <w:rsid w:val="0BDE36C2"/>
    <w:rsid w:val="0BE1300C"/>
    <w:rsid w:val="0BFF5FC6"/>
    <w:rsid w:val="0C265CE3"/>
    <w:rsid w:val="0C394019"/>
    <w:rsid w:val="0C491F24"/>
    <w:rsid w:val="0C5D35AC"/>
    <w:rsid w:val="0C636AE4"/>
    <w:rsid w:val="0C6D1703"/>
    <w:rsid w:val="0C7A0F32"/>
    <w:rsid w:val="0C847828"/>
    <w:rsid w:val="0C913829"/>
    <w:rsid w:val="0CB45430"/>
    <w:rsid w:val="0CBB2760"/>
    <w:rsid w:val="0CCE2258"/>
    <w:rsid w:val="0CD11C9B"/>
    <w:rsid w:val="0CDE4807"/>
    <w:rsid w:val="0CE27FBF"/>
    <w:rsid w:val="0CE55FC1"/>
    <w:rsid w:val="0CF53419"/>
    <w:rsid w:val="0CF54807"/>
    <w:rsid w:val="0CF5570E"/>
    <w:rsid w:val="0D020171"/>
    <w:rsid w:val="0D0A669A"/>
    <w:rsid w:val="0D0E54EC"/>
    <w:rsid w:val="0D1268DD"/>
    <w:rsid w:val="0D370E0E"/>
    <w:rsid w:val="0D5D45D3"/>
    <w:rsid w:val="0D631E83"/>
    <w:rsid w:val="0D6A2AEE"/>
    <w:rsid w:val="0D7507A0"/>
    <w:rsid w:val="0D9955D5"/>
    <w:rsid w:val="0DAD28F2"/>
    <w:rsid w:val="0DB121B1"/>
    <w:rsid w:val="0DB54FF2"/>
    <w:rsid w:val="0DCA30AF"/>
    <w:rsid w:val="0DCD4E20"/>
    <w:rsid w:val="0DCD7334"/>
    <w:rsid w:val="0E250BFD"/>
    <w:rsid w:val="0E25710B"/>
    <w:rsid w:val="0E6B7D9D"/>
    <w:rsid w:val="0E787DDC"/>
    <w:rsid w:val="0E847F74"/>
    <w:rsid w:val="0E8531E1"/>
    <w:rsid w:val="0EA97E6A"/>
    <w:rsid w:val="0EB75827"/>
    <w:rsid w:val="0EB81A25"/>
    <w:rsid w:val="0EBE47ED"/>
    <w:rsid w:val="0ED428FE"/>
    <w:rsid w:val="0EFE11ED"/>
    <w:rsid w:val="0EFE59BF"/>
    <w:rsid w:val="0F037D07"/>
    <w:rsid w:val="0F044282"/>
    <w:rsid w:val="0F11411F"/>
    <w:rsid w:val="0F2F16F0"/>
    <w:rsid w:val="0F30051C"/>
    <w:rsid w:val="0F4D3D97"/>
    <w:rsid w:val="0F6A0E3E"/>
    <w:rsid w:val="0F794E4F"/>
    <w:rsid w:val="0F7C7661"/>
    <w:rsid w:val="0F8320AA"/>
    <w:rsid w:val="0F9020CF"/>
    <w:rsid w:val="0F9477AA"/>
    <w:rsid w:val="0F95025D"/>
    <w:rsid w:val="0FAB0611"/>
    <w:rsid w:val="0FCD4412"/>
    <w:rsid w:val="0FCF7D7E"/>
    <w:rsid w:val="0FDB491F"/>
    <w:rsid w:val="0FE33E18"/>
    <w:rsid w:val="0FEF75C9"/>
    <w:rsid w:val="100147DD"/>
    <w:rsid w:val="10137061"/>
    <w:rsid w:val="10371D79"/>
    <w:rsid w:val="10394EC5"/>
    <w:rsid w:val="10431482"/>
    <w:rsid w:val="1050093A"/>
    <w:rsid w:val="10622620"/>
    <w:rsid w:val="10763213"/>
    <w:rsid w:val="10976697"/>
    <w:rsid w:val="10997F43"/>
    <w:rsid w:val="109E6D24"/>
    <w:rsid w:val="10A51B50"/>
    <w:rsid w:val="10B02E50"/>
    <w:rsid w:val="10B55701"/>
    <w:rsid w:val="10BE29C8"/>
    <w:rsid w:val="10CA7DAD"/>
    <w:rsid w:val="10CD22B3"/>
    <w:rsid w:val="10D239FD"/>
    <w:rsid w:val="10DE7BAE"/>
    <w:rsid w:val="10E02F32"/>
    <w:rsid w:val="10E30CCF"/>
    <w:rsid w:val="10EA570A"/>
    <w:rsid w:val="10EC4A65"/>
    <w:rsid w:val="10FB7D54"/>
    <w:rsid w:val="1101677B"/>
    <w:rsid w:val="11026884"/>
    <w:rsid w:val="11081CD6"/>
    <w:rsid w:val="111D0497"/>
    <w:rsid w:val="11204A65"/>
    <w:rsid w:val="11225E4F"/>
    <w:rsid w:val="112A3F2E"/>
    <w:rsid w:val="11334ECE"/>
    <w:rsid w:val="113E3112"/>
    <w:rsid w:val="11425846"/>
    <w:rsid w:val="1146775F"/>
    <w:rsid w:val="114A72FE"/>
    <w:rsid w:val="11543C70"/>
    <w:rsid w:val="11550B08"/>
    <w:rsid w:val="115C67A8"/>
    <w:rsid w:val="115D7DA8"/>
    <w:rsid w:val="116D0CDE"/>
    <w:rsid w:val="11756827"/>
    <w:rsid w:val="11944FFE"/>
    <w:rsid w:val="11951496"/>
    <w:rsid w:val="11972CBA"/>
    <w:rsid w:val="11A41805"/>
    <w:rsid w:val="11E12192"/>
    <w:rsid w:val="11E64E15"/>
    <w:rsid w:val="11E67EFD"/>
    <w:rsid w:val="11E70C39"/>
    <w:rsid w:val="11F02E4D"/>
    <w:rsid w:val="11F21955"/>
    <w:rsid w:val="120774A3"/>
    <w:rsid w:val="12282E47"/>
    <w:rsid w:val="122F64A8"/>
    <w:rsid w:val="12580C13"/>
    <w:rsid w:val="125F6DB3"/>
    <w:rsid w:val="12851695"/>
    <w:rsid w:val="12876D6F"/>
    <w:rsid w:val="12880E6C"/>
    <w:rsid w:val="128827B7"/>
    <w:rsid w:val="129B7281"/>
    <w:rsid w:val="12B55E5B"/>
    <w:rsid w:val="12C93B56"/>
    <w:rsid w:val="12D33822"/>
    <w:rsid w:val="12E61A24"/>
    <w:rsid w:val="12EC6A62"/>
    <w:rsid w:val="130240B0"/>
    <w:rsid w:val="130E4CB6"/>
    <w:rsid w:val="13164F7E"/>
    <w:rsid w:val="131777DF"/>
    <w:rsid w:val="131B1088"/>
    <w:rsid w:val="135E5007"/>
    <w:rsid w:val="13680711"/>
    <w:rsid w:val="13685EBE"/>
    <w:rsid w:val="13936078"/>
    <w:rsid w:val="13A4791C"/>
    <w:rsid w:val="13AD0E77"/>
    <w:rsid w:val="13AF5189"/>
    <w:rsid w:val="13B20357"/>
    <w:rsid w:val="13B37415"/>
    <w:rsid w:val="13C927E6"/>
    <w:rsid w:val="13F44C4B"/>
    <w:rsid w:val="13F45D5B"/>
    <w:rsid w:val="14006D19"/>
    <w:rsid w:val="14150C68"/>
    <w:rsid w:val="14224008"/>
    <w:rsid w:val="142F097C"/>
    <w:rsid w:val="14472E0D"/>
    <w:rsid w:val="14482929"/>
    <w:rsid w:val="144A2FAE"/>
    <w:rsid w:val="144C6C6D"/>
    <w:rsid w:val="146202A5"/>
    <w:rsid w:val="147C2187"/>
    <w:rsid w:val="1481754F"/>
    <w:rsid w:val="148343E7"/>
    <w:rsid w:val="148F5721"/>
    <w:rsid w:val="1495057E"/>
    <w:rsid w:val="14A835CD"/>
    <w:rsid w:val="14AC57CD"/>
    <w:rsid w:val="14B2558B"/>
    <w:rsid w:val="14B301B1"/>
    <w:rsid w:val="14B45A7C"/>
    <w:rsid w:val="14D86281"/>
    <w:rsid w:val="14E13BC1"/>
    <w:rsid w:val="14EC3C3A"/>
    <w:rsid w:val="14FA2A13"/>
    <w:rsid w:val="153A0A1D"/>
    <w:rsid w:val="153A6EF0"/>
    <w:rsid w:val="1540202C"/>
    <w:rsid w:val="155456B8"/>
    <w:rsid w:val="15560C75"/>
    <w:rsid w:val="155B63E3"/>
    <w:rsid w:val="15647C42"/>
    <w:rsid w:val="157C7250"/>
    <w:rsid w:val="15820A7E"/>
    <w:rsid w:val="159F27CA"/>
    <w:rsid w:val="15B02C49"/>
    <w:rsid w:val="15B1349C"/>
    <w:rsid w:val="15B9327B"/>
    <w:rsid w:val="15BB5DD2"/>
    <w:rsid w:val="15C9388B"/>
    <w:rsid w:val="15DE19F4"/>
    <w:rsid w:val="15ED3E9B"/>
    <w:rsid w:val="15F04801"/>
    <w:rsid w:val="15F76967"/>
    <w:rsid w:val="15FB270D"/>
    <w:rsid w:val="160F72CA"/>
    <w:rsid w:val="16324BC3"/>
    <w:rsid w:val="164514BE"/>
    <w:rsid w:val="1664507D"/>
    <w:rsid w:val="167800AD"/>
    <w:rsid w:val="16B9044D"/>
    <w:rsid w:val="16CB4FAD"/>
    <w:rsid w:val="16D15A1B"/>
    <w:rsid w:val="16E2576E"/>
    <w:rsid w:val="16E52F67"/>
    <w:rsid w:val="16EC135B"/>
    <w:rsid w:val="170F06AA"/>
    <w:rsid w:val="1715050E"/>
    <w:rsid w:val="171626FD"/>
    <w:rsid w:val="171D67DE"/>
    <w:rsid w:val="17225508"/>
    <w:rsid w:val="17235235"/>
    <w:rsid w:val="17271DD6"/>
    <w:rsid w:val="17273F04"/>
    <w:rsid w:val="174A25EB"/>
    <w:rsid w:val="174B1C04"/>
    <w:rsid w:val="17504EE3"/>
    <w:rsid w:val="175449A0"/>
    <w:rsid w:val="175516C6"/>
    <w:rsid w:val="175E421D"/>
    <w:rsid w:val="1763708A"/>
    <w:rsid w:val="177A53BF"/>
    <w:rsid w:val="178022B2"/>
    <w:rsid w:val="178131D1"/>
    <w:rsid w:val="179862E6"/>
    <w:rsid w:val="179941B3"/>
    <w:rsid w:val="179A7349"/>
    <w:rsid w:val="17AB3A62"/>
    <w:rsid w:val="17B13B40"/>
    <w:rsid w:val="17B667D5"/>
    <w:rsid w:val="17B800D8"/>
    <w:rsid w:val="17BC1358"/>
    <w:rsid w:val="17C75441"/>
    <w:rsid w:val="17D90F2F"/>
    <w:rsid w:val="17E3400D"/>
    <w:rsid w:val="17F30A5E"/>
    <w:rsid w:val="180A6E32"/>
    <w:rsid w:val="182964F7"/>
    <w:rsid w:val="182F4B80"/>
    <w:rsid w:val="18336130"/>
    <w:rsid w:val="183F2CD2"/>
    <w:rsid w:val="1856323E"/>
    <w:rsid w:val="185B34D0"/>
    <w:rsid w:val="18752FEE"/>
    <w:rsid w:val="18842E53"/>
    <w:rsid w:val="18984C00"/>
    <w:rsid w:val="18AF55E3"/>
    <w:rsid w:val="18B1519A"/>
    <w:rsid w:val="18BF24D0"/>
    <w:rsid w:val="18CD0507"/>
    <w:rsid w:val="18DE1743"/>
    <w:rsid w:val="18DF10CA"/>
    <w:rsid w:val="18E55751"/>
    <w:rsid w:val="18EA6536"/>
    <w:rsid w:val="18F55F0B"/>
    <w:rsid w:val="18FC0BD8"/>
    <w:rsid w:val="19102F40"/>
    <w:rsid w:val="191E67B0"/>
    <w:rsid w:val="19253B09"/>
    <w:rsid w:val="1936421F"/>
    <w:rsid w:val="1943224A"/>
    <w:rsid w:val="195130C3"/>
    <w:rsid w:val="19522CB1"/>
    <w:rsid w:val="195D7D48"/>
    <w:rsid w:val="196B06AB"/>
    <w:rsid w:val="19760650"/>
    <w:rsid w:val="19816103"/>
    <w:rsid w:val="198A598A"/>
    <w:rsid w:val="199E5FEF"/>
    <w:rsid w:val="19A43643"/>
    <w:rsid w:val="19AC798F"/>
    <w:rsid w:val="19CE6E52"/>
    <w:rsid w:val="19CF0631"/>
    <w:rsid w:val="19D55D37"/>
    <w:rsid w:val="19DF2889"/>
    <w:rsid w:val="1A1C23B7"/>
    <w:rsid w:val="1A273DF6"/>
    <w:rsid w:val="1A2810B2"/>
    <w:rsid w:val="1A4F4617"/>
    <w:rsid w:val="1A605D51"/>
    <w:rsid w:val="1A8264EB"/>
    <w:rsid w:val="1A961A54"/>
    <w:rsid w:val="1AAC72D1"/>
    <w:rsid w:val="1AAE4BD8"/>
    <w:rsid w:val="1AC2149C"/>
    <w:rsid w:val="1AD01A1B"/>
    <w:rsid w:val="1AFA5806"/>
    <w:rsid w:val="1B1A1B09"/>
    <w:rsid w:val="1B321828"/>
    <w:rsid w:val="1B3C31DB"/>
    <w:rsid w:val="1B3E7789"/>
    <w:rsid w:val="1B490617"/>
    <w:rsid w:val="1B494FD0"/>
    <w:rsid w:val="1B4978F8"/>
    <w:rsid w:val="1B61065A"/>
    <w:rsid w:val="1B6542E1"/>
    <w:rsid w:val="1B68181B"/>
    <w:rsid w:val="1B6F2614"/>
    <w:rsid w:val="1B701635"/>
    <w:rsid w:val="1B864FCD"/>
    <w:rsid w:val="1B926E11"/>
    <w:rsid w:val="1B9D4D17"/>
    <w:rsid w:val="1BB659BE"/>
    <w:rsid w:val="1BBF3927"/>
    <w:rsid w:val="1BC21A24"/>
    <w:rsid w:val="1BC46E30"/>
    <w:rsid w:val="1BE26818"/>
    <w:rsid w:val="1C097E78"/>
    <w:rsid w:val="1C0F554C"/>
    <w:rsid w:val="1C177B08"/>
    <w:rsid w:val="1C1D2DCD"/>
    <w:rsid w:val="1C281DA1"/>
    <w:rsid w:val="1C297E67"/>
    <w:rsid w:val="1C3D4FD9"/>
    <w:rsid w:val="1C3F6575"/>
    <w:rsid w:val="1C40382C"/>
    <w:rsid w:val="1C5D4F10"/>
    <w:rsid w:val="1C5D5FB2"/>
    <w:rsid w:val="1C5F7E6D"/>
    <w:rsid w:val="1C636F57"/>
    <w:rsid w:val="1C851F98"/>
    <w:rsid w:val="1C9001C6"/>
    <w:rsid w:val="1CAD7BBF"/>
    <w:rsid w:val="1CB628F6"/>
    <w:rsid w:val="1CBA2101"/>
    <w:rsid w:val="1CBA74B5"/>
    <w:rsid w:val="1CBE2FC3"/>
    <w:rsid w:val="1CC80C9A"/>
    <w:rsid w:val="1CE926AF"/>
    <w:rsid w:val="1CEE01CF"/>
    <w:rsid w:val="1CF52476"/>
    <w:rsid w:val="1CFB779C"/>
    <w:rsid w:val="1D0573D7"/>
    <w:rsid w:val="1D153DC4"/>
    <w:rsid w:val="1D1A6D7C"/>
    <w:rsid w:val="1D223E0B"/>
    <w:rsid w:val="1D310B82"/>
    <w:rsid w:val="1D517C2F"/>
    <w:rsid w:val="1D5F5786"/>
    <w:rsid w:val="1D5F7042"/>
    <w:rsid w:val="1D68535F"/>
    <w:rsid w:val="1D7037B2"/>
    <w:rsid w:val="1D7A717D"/>
    <w:rsid w:val="1D9060CB"/>
    <w:rsid w:val="1D961153"/>
    <w:rsid w:val="1D9A206C"/>
    <w:rsid w:val="1DA55706"/>
    <w:rsid w:val="1DB24838"/>
    <w:rsid w:val="1DB50122"/>
    <w:rsid w:val="1DC72746"/>
    <w:rsid w:val="1DD663F1"/>
    <w:rsid w:val="1DE31B7A"/>
    <w:rsid w:val="1DEB5095"/>
    <w:rsid w:val="1DEC428E"/>
    <w:rsid w:val="1DF04968"/>
    <w:rsid w:val="1DFC183C"/>
    <w:rsid w:val="1E035683"/>
    <w:rsid w:val="1E053DA4"/>
    <w:rsid w:val="1E0B3A3E"/>
    <w:rsid w:val="1E1016BE"/>
    <w:rsid w:val="1E130F58"/>
    <w:rsid w:val="1E132F88"/>
    <w:rsid w:val="1E152CCF"/>
    <w:rsid w:val="1E186D0C"/>
    <w:rsid w:val="1E2867E9"/>
    <w:rsid w:val="1E375205"/>
    <w:rsid w:val="1E424AE1"/>
    <w:rsid w:val="1E442C4B"/>
    <w:rsid w:val="1E4C6FA9"/>
    <w:rsid w:val="1E5C1C6B"/>
    <w:rsid w:val="1E7E2DE1"/>
    <w:rsid w:val="1E853F6F"/>
    <w:rsid w:val="1E9C7B40"/>
    <w:rsid w:val="1E9C7BCC"/>
    <w:rsid w:val="1EB03052"/>
    <w:rsid w:val="1ECC1E3C"/>
    <w:rsid w:val="1EEC0AD7"/>
    <w:rsid w:val="1EF733BD"/>
    <w:rsid w:val="1F035011"/>
    <w:rsid w:val="1F035EC0"/>
    <w:rsid w:val="1F08731E"/>
    <w:rsid w:val="1F1C0F96"/>
    <w:rsid w:val="1F1F0A33"/>
    <w:rsid w:val="1F224E53"/>
    <w:rsid w:val="1F2430F7"/>
    <w:rsid w:val="1F2D1872"/>
    <w:rsid w:val="1F313A77"/>
    <w:rsid w:val="1F3A27F5"/>
    <w:rsid w:val="1F3F3C9A"/>
    <w:rsid w:val="1F4024BB"/>
    <w:rsid w:val="1F48150B"/>
    <w:rsid w:val="1F5356E6"/>
    <w:rsid w:val="1F767C21"/>
    <w:rsid w:val="1F825E2E"/>
    <w:rsid w:val="1F86127F"/>
    <w:rsid w:val="1FA61EB8"/>
    <w:rsid w:val="1FB56588"/>
    <w:rsid w:val="1FBF0E1E"/>
    <w:rsid w:val="1FBF78D9"/>
    <w:rsid w:val="1FC06A5E"/>
    <w:rsid w:val="1FC2798E"/>
    <w:rsid w:val="1FCF7A17"/>
    <w:rsid w:val="1FFD2FEE"/>
    <w:rsid w:val="200E61D2"/>
    <w:rsid w:val="20376F9B"/>
    <w:rsid w:val="20380E72"/>
    <w:rsid w:val="20472F36"/>
    <w:rsid w:val="204926DE"/>
    <w:rsid w:val="20493615"/>
    <w:rsid w:val="205372AB"/>
    <w:rsid w:val="20544B01"/>
    <w:rsid w:val="206218B9"/>
    <w:rsid w:val="207078F2"/>
    <w:rsid w:val="20761331"/>
    <w:rsid w:val="207646CA"/>
    <w:rsid w:val="2077313E"/>
    <w:rsid w:val="20906282"/>
    <w:rsid w:val="20A259AA"/>
    <w:rsid w:val="20C226C4"/>
    <w:rsid w:val="20C45C8C"/>
    <w:rsid w:val="20D77EB9"/>
    <w:rsid w:val="20DF6C5A"/>
    <w:rsid w:val="20EB123E"/>
    <w:rsid w:val="20EC4867"/>
    <w:rsid w:val="20F25DE3"/>
    <w:rsid w:val="20F3593B"/>
    <w:rsid w:val="20F664A2"/>
    <w:rsid w:val="20F92790"/>
    <w:rsid w:val="20FB4AD2"/>
    <w:rsid w:val="21014C39"/>
    <w:rsid w:val="21045DF0"/>
    <w:rsid w:val="21051CC0"/>
    <w:rsid w:val="211834AC"/>
    <w:rsid w:val="212266D7"/>
    <w:rsid w:val="212356D0"/>
    <w:rsid w:val="212406AD"/>
    <w:rsid w:val="21244EB1"/>
    <w:rsid w:val="213964D8"/>
    <w:rsid w:val="21483234"/>
    <w:rsid w:val="21595D04"/>
    <w:rsid w:val="218B05DD"/>
    <w:rsid w:val="218B24B6"/>
    <w:rsid w:val="219B050D"/>
    <w:rsid w:val="21AB225E"/>
    <w:rsid w:val="21B32AFC"/>
    <w:rsid w:val="21B81A98"/>
    <w:rsid w:val="21C20626"/>
    <w:rsid w:val="21C622D2"/>
    <w:rsid w:val="21CB2551"/>
    <w:rsid w:val="21CF722F"/>
    <w:rsid w:val="21D6656F"/>
    <w:rsid w:val="21E21B23"/>
    <w:rsid w:val="21F13629"/>
    <w:rsid w:val="2208404B"/>
    <w:rsid w:val="220F640A"/>
    <w:rsid w:val="22170F60"/>
    <w:rsid w:val="222B6A9C"/>
    <w:rsid w:val="222D3AB8"/>
    <w:rsid w:val="223A2638"/>
    <w:rsid w:val="223C7BDD"/>
    <w:rsid w:val="22552F1A"/>
    <w:rsid w:val="22795475"/>
    <w:rsid w:val="227A1549"/>
    <w:rsid w:val="227E0004"/>
    <w:rsid w:val="229719BB"/>
    <w:rsid w:val="22A31B1C"/>
    <w:rsid w:val="22A86068"/>
    <w:rsid w:val="22A9180E"/>
    <w:rsid w:val="22BF4FB1"/>
    <w:rsid w:val="22C864DC"/>
    <w:rsid w:val="22D549A1"/>
    <w:rsid w:val="22DF722B"/>
    <w:rsid w:val="22FC6197"/>
    <w:rsid w:val="2305377E"/>
    <w:rsid w:val="2323066A"/>
    <w:rsid w:val="23271A45"/>
    <w:rsid w:val="2332699B"/>
    <w:rsid w:val="234C7A42"/>
    <w:rsid w:val="235D0BB6"/>
    <w:rsid w:val="23752A5C"/>
    <w:rsid w:val="237F4E13"/>
    <w:rsid w:val="23A7106E"/>
    <w:rsid w:val="23BA5CAA"/>
    <w:rsid w:val="23C62395"/>
    <w:rsid w:val="23CE5E4B"/>
    <w:rsid w:val="23DB4F41"/>
    <w:rsid w:val="23EA7B8B"/>
    <w:rsid w:val="23EF00FE"/>
    <w:rsid w:val="23F06955"/>
    <w:rsid w:val="23F3704C"/>
    <w:rsid w:val="23F51D23"/>
    <w:rsid w:val="23F64D22"/>
    <w:rsid w:val="24025C53"/>
    <w:rsid w:val="24122135"/>
    <w:rsid w:val="242449EC"/>
    <w:rsid w:val="2425413A"/>
    <w:rsid w:val="242C7A4C"/>
    <w:rsid w:val="243476BE"/>
    <w:rsid w:val="24540D3D"/>
    <w:rsid w:val="24A9296F"/>
    <w:rsid w:val="24AF10AE"/>
    <w:rsid w:val="24B36018"/>
    <w:rsid w:val="24B904B5"/>
    <w:rsid w:val="24BA56EB"/>
    <w:rsid w:val="24D4257E"/>
    <w:rsid w:val="24D91A37"/>
    <w:rsid w:val="24DB6D1E"/>
    <w:rsid w:val="24E25A76"/>
    <w:rsid w:val="24E905CF"/>
    <w:rsid w:val="24F138B7"/>
    <w:rsid w:val="24F522AF"/>
    <w:rsid w:val="25150DEA"/>
    <w:rsid w:val="253F3354"/>
    <w:rsid w:val="254F0F7E"/>
    <w:rsid w:val="255E256B"/>
    <w:rsid w:val="256F6F7E"/>
    <w:rsid w:val="2572202B"/>
    <w:rsid w:val="25756A55"/>
    <w:rsid w:val="25B04653"/>
    <w:rsid w:val="25BB4F4D"/>
    <w:rsid w:val="25C149BB"/>
    <w:rsid w:val="25C679DB"/>
    <w:rsid w:val="25DF6DC9"/>
    <w:rsid w:val="25EE4445"/>
    <w:rsid w:val="25EE4B76"/>
    <w:rsid w:val="2605683C"/>
    <w:rsid w:val="260971F7"/>
    <w:rsid w:val="26213C17"/>
    <w:rsid w:val="26233B26"/>
    <w:rsid w:val="2633160E"/>
    <w:rsid w:val="265B3CA1"/>
    <w:rsid w:val="265F6DC4"/>
    <w:rsid w:val="2662516B"/>
    <w:rsid w:val="26674DA0"/>
    <w:rsid w:val="266D3EB0"/>
    <w:rsid w:val="267D2B84"/>
    <w:rsid w:val="267F14C1"/>
    <w:rsid w:val="269340B6"/>
    <w:rsid w:val="269A631F"/>
    <w:rsid w:val="269B1FB9"/>
    <w:rsid w:val="26B555E5"/>
    <w:rsid w:val="26BB1419"/>
    <w:rsid w:val="26C6024F"/>
    <w:rsid w:val="26CE6F15"/>
    <w:rsid w:val="26D228A9"/>
    <w:rsid w:val="26D32C81"/>
    <w:rsid w:val="26DD296C"/>
    <w:rsid w:val="26EF6916"/>
    <w:rsid w:val="26F21F06"/>
    <w:rsid w:val="26FE5D9D"/>
    <w:rsid w:val="2714520A"/>
    <w:rsid w:val="27231B60"/>
    <w:rsid w:val="274125DC"/>
    <w:rsid w:val="27424700"/>
    <w:rsid w:val="275C74AB"/>
    <w:rsid w:val="275D7434"/>
    <w:rsid w:val="27730A9F"/>
    <w:rsid w:val="27744D14"/>
    <w:rsid w:val="27756AEB"/>
    <w:rsid w:val="277E3A25"/>
    <w:rsid w:val="27894090"/>
    <w:rsid w:val="27AE10E2"/>
    <w:rsid w:val="27B748AA"/>
    <w:rsid w:val="27CB4CB9"/>
    <w:rsid w:val="27EC76AA"/>
    <w:rsid w:val="27FB70B2"/>
    <w:rsid w:val="28117E1E"/>
    <w:rsid w:val="281C2F58"/>
    <w:rsid w:val="282849E0"/>
    <w:rsid w:val="28377B85"/>
    <w:rsid w:val="283D1FEF"/>
    <w:rsid w:val="284E6E75"/>
    <w:rsid w:val="286763AE"/>
    <w:rsid w:val="286D4ABC"/>
    <w:rsid w:val="286E6BA4"/>
    <w:rsid w:val="28725817"/>
    <w:rsid w:val="287577EF"/>
    <w:rsid w:val="287902B0"/>
    <w:rsid w:val="2886587F"/>
    <w:rsid w:val="28B05368"/>
    <w:rsid w:val="28C81976"/>
    <w:rsid w:val="28FE4BB8"/>
    <w:rsid w:val="29106F5A"/>
    <w:rsid w:val="2926398A"/>
    <w:rsid w:val="2938186E"/>
    <w:rsid w:val="29472B8C"/>
    <w:rsid w:val="2947446A"/>
    <w:rsid w:val="294C1A40"/>
    <w:rsid w:val="29634C68"/>
    <w:rsid w:val="29642C4B"/>
    <w:rsid w:val="298434DB"/>
    <w:rsid w:val="29A34FE0"/>
    <w:rsid w:val="29D112C1"/>
    <w:rsid w:val="29D8238C"/>
    <w:rsid w:val="29E51F4A"/>
    <w:rsid w:val="29ED7DF5"/>
    <w:rsid w:val="29EF2406"/>
    <w:rsid w:val="2A27361B"/>
    <w:rsid w:val="2A34628C"/>
    <w:rsid w:val="2A46159A"/>
    <w:rsid w:val="2A497D40"/>
    <w:rsid w:val="2A4C3408"/>
    <w:rsid w:val="2A521949"/>
    <w:rsid w:val="2A724D05"/>
    <w:rsid w:val="2A7E505C"/>
    <w:rsid w:val="2A8A0393"/>
    <w:rsid w:val="2AC85686"/>
    <w:rsid w:val="2ACF4969"/>
    <w:rsid w:val="2AD04B5F"/>
    <w:rsid w:val="2AD53F89"/>
    <w:rsid w:val="2AF307A3"/>
    <w:rsid w:val="2AF84FAF"/>
    <w:rsid w:val="2B01752D"/>
    <w:rsid w:val="2B057D75"/>
    <w:rsid w:val="2B1240C7"/>
    <w:rsid w:val="2B1642DE"/>
    <w:rsid w:val="2B1C274F"/>
    <w:rsid w:val="2B4171D4"/>
    <w:rsid w:val="2B4445EB"/>
    <w:rsid w:val="2B462A15"/>
    <w:rsid w:val="2B46463C"/>
    <w:rsid w:val="2B4B466A"/>
    <w:rsid w:val="2B511441"/>
    <w:rsid w:val="2B5B6DCA"/>
    <w:rsid w:val="2B682CF0"/>
    <w:rsid w:val="2B86546B"/>
    <w:rsid w:val="2B987A16"/>
    <w:rsid w:val="2B9B39B5"/>
    <w:rsid w:val="2BC05B2C"/>
    <w:rsid w:val="2BD617C5"/>
    <w:rsid w:val="2BD617CF"/>
    <w:rsid w:val="2BDE2000"/>
    <w:rsid w:val="2BEC75A5"/>
    <w:rsid w:val="2BED7120"/>
    <w:rsid w:val="2C001707"/>
    <w:rsid w:val="2C027731"/>
    <w:rsid w:val="2C0B5F2A"/>
    <w:rsid w:val="2C112837"/>
    <w:rsid w:val="2C1834EC"/>
    <w:rsid w:val="2C1E4E6C"/>
    <w:rsid w:val="2C283A63"/>
    <w:rsid w:val="2C287192"/>
    <w:rsid w:val="2C2C7BF2"/>
    <w:rsid w:val="2C2F0616"/>
    <w:rsid w:val="2C2F3C92"/>
    <w:rsid w:val="2C3303EC"/>
    <w:rsid w:val="2C4A3842"/>
    <w:rsid w:val="2C612054"/>
    <w:rsid w:val="2C614881"/>
    <w:rsid w:val="2C7A79E6"/>
    <w:rsid w:val="2C8757C4"/>
    <w:rsid w:val="2C9F34EC"/>
    <w:rsid w:val="2CC358D1"/>
    <w:rsid w:val="2CD44256"/>
    <w:rsid w:val="2CE40D90"/>
    <w:rsid w:val="2CED4655"/>
    <w:rsid w:val="2CF376E9"/>
    <w:rsid w:val="2D1226BF"/>
    <w:rsid w:val="2D3F5A74"/>
    <w:rsid w:val="2D472008"/>
    <w:rsid w:val="2D51027B"/>
    <w:rsid w:val="2D5127EF"/>
    <w:rsid w:val="2D617E49"/>
    <w:rsid w:val="2D632596"/>
    <w:rsid w:val="2D77790F"/>
    <w:rsid w:val="2D911549"/>
    <w:rsid w:val="2DAB7C88"/>
    <w:rsid w:val="2DC17338"/>
    <w:rsid w:val="2DC4260E"/>
    <w:rsid w:val="2DEE06C1"/>
    <w:rsid w:val="2DFB58F0"/>
    <w:rsid w:val="2E014790"/>
    <w:rsid w:val="2E0265C0"/>
    <w:rsid w:val="2E1017A1"/>
    <w:rsid w:val="2E540AA2"/>
    <w:rsid w:val="2E881687"/>
    <w:rsid w:val="2E8D151C"/>
    <w:rsid w:val="2E9A328C"/>
    <w:rsid w:val="2E9B6813"/>
    <w:rsid w:val="2E9C68B8"/>
    <w:rsid w:val="2E9C766C"/>
    <w:rsid w:val="2EA9176F"/>
    <w:rsid w:val="2EAE3922"/>
    <w:rsid w:val="2EB1033E"/>
    <w:rsid w:val="2EB32811"/>
    <w:rsid w:val="2EB727B2"/>
    <w:rsid w:val="2EE51747"/>
    <w:rsid w:val="2EE77680"/>
    <w:rsid w:val="2EEC1357"/>
    <w:rsid w:val="2EEF007B"/>
    <w:rsid w:val="2F036086"/>
    <w:rsid w:val="2F050018"/>
    <w:rsid w:val="2F0D2540"/>
    <w:rsid w:val="2F212574"/>
    <w:rsid w:val="2F225627"/>
    <w:rsid w:val="2F256329"/>
    <w:rsid w:val="2F2C5823"/>
    <w:rsid w:val="2F2F0FC8"/>
    <w:rsid w:val="2F302BC5"/>
    <w:rsid w:val="2F327F56"/>
    <w:rsid w:val="2F335529"/>
    <w:rsid w:val="2F342155"/>
    <w:rsid w:val="2F442261"/>
    <w:rsid w:val="2F661E4B"/>
    <w:rsid w:val="2F6876F1"/>
    <w:rsid w:val="2F7E554B"/>
    <w:rsid w:val="2F8954AE"/>
    <w:rsid w:val="2F9516E9"/>
    <w:rsid w:val="2F9A6023"/>
    <w:rsid w:val="2F9F0267"/>
    <w:rsid w:val="2FB7446E"/>
    <w:rsid w:val="2FC1649F"/>
    <w:rsid w:val="2FFE4655"/>
    <w:rsid w:val="301C6BB6"/>
    <w:rsid w:val="30226963"/>
    <w:rsid w:val="3024507C"/>
    <w:rsid w:val="30491B7A"/>
    <w:rsid w:val="306E6F1C"/>
    <w:rsid w:val="30723652"/>
    <w:rsid w:val="308162C0"/>
    <w:rsid w:val="30855869"/>
    <w:rsid w:val="309645C5"/>
    <w:rsid w:val="309831C6"/>
    <w:rsid w:val="309C752C"/>
    <w:rsid w:val="30BC5A16"/>
    <w:rsid w:val="30BF26D3"/>
    <w:rsid w:val="30C64B71"/>
    <w:rsid w:val="30C84BF8"/>
    <w:rsid w:val="30CC08EC"/>
    <w:rsid w:val="30E45251"/>
    <w:rsid w:val="312143F7"/>
    <w:rsid w:val="31243B22"/>
    <w:rsid w:val="31326533"/>
    <w:rsid w:val="313553C8"/>
    <w:rsid w:val="31526AB3"/>
    <w:rsid w:val="31927D00"/>
    <w:rsid w:val="319708F2"/>
    <w:rsid w:val="31B14C9E"/>
    <w:rsid w:val="31C44C64"/>
    <w:rsid w:val="31D75BEC"/>
    <w:rsid w:val="31EF09FD"/>
    <w:rsid w:val="31F34E0D"/>
    <w:rsid w:val="320346CB"/>
    <w:rsid w:val="32282F84"/>
    <w:rsid w:val="3230175C"/>
    <w:rsid w:val="32474D62"/>
    <w:rsid w:val="32495BBC"/>
    <w:rsid w:val="324E54ED"/>
    <w:rsid w:val="325512F0"/>
    <w:rsid w:val="32661BCC"/>
    <w:rsid w:val="32713486"/>
    <w:rsid w:val="3278056E"/>
    <w:rsid w:val="327D3B5D"/>
    <w:rsid w:val="328F1E7B"/>
    <w:rsid w:val="32961319"/>
    <w:rsid w:val="32A156C2"/>
    <w:rsid w:val="32A4428B"/>
    <w:rsid w:val="32A520A3"/>
    <w:rsid w:val="32B048D6"/>
    <w:rsid w:val="32BD3F05"/>
    <w:rsid w:val="32C64D76"/>
    <w:rsid w:val="32CA53FB"/>
    <w:rsid w:val="32D912FC"/>
    <w:rsid w:val="32F50E68"/>
    <w:rsid w:val="33462308"/>
    <w:rsid w:val="334B686C"/>
    <w:rsid w:val="335537D4"/>
    <w:rsid w:val="336D7F54"/>
    <w:rsid w:val="338A1642"/>
    <w:rsid w:val="33927CB8"/>
    <w:rsid w:val="339E7233"/>
    <w:rsid w:val="33A30E65"/>
    <w:rsid w:val="33A72252"/>
    <w:rsid w:val="33A73D69"/>
    <w:rsid w:val="33A9104C"/>
    <w:rsid w:val="33B17A99"/>
    <w:rsid w:val="33C11FCB"/>
    <w:rsid w:val="33C1523C"/>
    <w:rsid w:val="33C522D7"/>
    <w:rsid w:val="33CF702B"/>
    <w:rsid w:val="33D51A1B"/>
    <w:rsid w:val="33E14C89"/>
    <w:rsid w:val="33E41EC2"/>
    <w:rsid w:val="33F83DBF"/>
    <w:rsid w:val="34006501"/>
    <w:rsid w:val="340A372B"/>
    <w:rsid w:val="34111B22"/>
    <w:rsid w:val="341A4C22"/>
    <w:rsid w:val="341E4E58"/>
    <w:rsid w:val="34320003"/>
    <w:rsid w:val="343F1997"/>
    <w:rsid w:val="34404F77"/>
    <w:rsid w:val="34440AE0"/>
    <w:rsid w:val="344E7B7B"/>
    <w:rsid w:val="34806536"/>
    <w:rsid w:val="34807672"/>
    <w:rsid w:val="34934CB1"/>
    <w:rsid w:val="34C43C38"/>
    <w:rsid w:val="34CB2E3B"/>
    <w:rsid w:val="34CD1A98"/>
    <w:rsid w:val="34CF2BD8"/>
    <w:rsid w:val="34ED1C61"/>
    <w:rsid w:val="34F04638"/>
    <w:rsid w:val="351457B8"/>
    <w:rsid w:val="353E0BCA"/>
    <w:rsid w:val="35444C30"/>
    <w:rsid w:val="354B524C"/>
    <w:rsid w:val="354B77FD"/>
    <w:rsid w:val="354F34D3"/>
    <w:rsid w:val="356E1F2A"/>
    <w:rsid w:val="357D0A1B"/>
    <w:rsid w:val="3583298F"/>
    <w:rsid w:val="35861B5D"/>
    <w:rsid w:val="35966CA9"/>
    <w:rsid w:val="35A11444"/>
    <w:rsid w:val="35B06C6A"/>
    <w:rsid w:val="35B82CEB"/>
    <w:rsid w:val="35B86F3F"/>
    <w:rsid w:val="35C636D1"/>
    <w:rsid w:val="35CF7061"/>
    <w:rsid w:val="35D03CD9"/>
    <w:rsid w:val="35E02914"/>
    <w:rsid w:val="35EA186A"/>
    <w:rsid w:val="360452F0"/>
    <w:rsid w:val="362357C3"/>
    <w:rsid w:val="36245E3E"/>
    <w:rsid w:val="36247C00"/>
    <w:rsid w:val="363E5A53"/>
    <w:rsid w:val="36434213"/>
    <w:rsid w:val="3647714E"/>
    <w:rsid w:val="36496B81"/>
    <w:rsid w:val="3659491F"/>
    <w:rsid w:val="366E5A84"/>
    <w:rsid w:val="367C3050"/>
    <w:rsid w:val="367D0F01"/>
    <w:rsid w:val="36853397"/>
    <w:rsid w:val="369051B9"/>
    <w:rsid w:val="36941AA2"/>
    <w:rsid w:val="369F56E7"/>
    <w:rsid w:val="36A01157"/>
    <w:rsid w:val="36BC5F31"/>
    <w:rsid w:val="36CA1139"/>
    <w:rsid w:val="36D20E16"/>
    <w:rsid w:val="36D37423"/>
    <w:rsid w:val="36EA46F8"/>
    <w:rsid w:val="36F4356D"/>
    <w:rsid w:val="373E6A40"/>
    <w:rsid w:val="37462186"/>
    <w:rsid w:val="37543267"/>
    <w:rsid w:val="376F45D9"/>
    <w:rsid w:val="378B6E07"/>
    <w:rsid w:val="37937B3B"/>
    <w:rsid w:val="37947066"/>
    <w:rsid w:val="379D23F9"/>
    <w:rsid w:val="37A5602D"/>
    <w:rsid w:val="37A929D2"/>
    <w:rsid w:val="37AD7866"/>
    <w:rsid w:val="37AF0589"/>
    <w:rsid w:val="37B07864"/>
    <w:rsid w:val="37D034E8"/>
    <w:rsid w:val="37D17E7D"/>
    <w:rsid w:val="37DA1313"/>
    <w:rsid w:val="37DF1BA3"/>
    <w:rsid w:val="37E71D30"/>
    <w:rsid w:val="37E9152F"/>
    <w:rsid w:val="37F5325E"/>
    <w:rsid w:val="37FD1D01"/>
    <w:rsid w:val="38082422"/>
    <w:rsid w:val="38121F37"/>
    <w:rsid w:val="38344F41"/>
    <w:rsid w:val="384C105F"/>
    <w:rsid w:val="38592927"/>
    <w:rsid w:val="385D4BC4"/>
    <w:rsid w:val="3863092C"/>
    <w:rsid w:val="38643D43"/>
    <w:rsid w:val="38653BE2"/>
    <w:rsid w:val="388D6D2F"/>
    <w:rsid w:val="389918B8"/>
    <w:rsid w:val="38B22CB7"/>
    <w:rsid w:val="38C95664"/>
    <w:rsid w:val="38CB13C3"/>
    <w:rsid w:val="38F95C2E"/>
    <w:rsid w:val="38FD559B"/>
    <w:rsid w:val="39003390"/>
    <w:rsid w:val="390F72CD"/>
    <w:rsid w:val="392A3614"/>
    <w:rsid w:val="3941547E"/>
    <w:rsid w:val="394419EF"/>
    <w:rsid w:val="394F5891"/>
    <w:rsid w:val="395C4B6D"/>
    <w:rsid w:val="3971356C"/>
    <w:rsid w:val="39902C76"/>
    <w:rsid w:val="39955DDE"/>
    <w:rsid w:val="39966B70"/>
    <w:rsid w:val="39A57FEF"/>
    <w:rsid w:val="39AA7534"/>
    <w:rsid w:val="39BA3E4F"/>
    <w:rsid w:val="39D96898"/>
    <w:rsid w:val="39E03A5D"/>
    <w:rsid w:val="3A085509"/>
    <w:rsid w:val="3A0D63F8"/>
    <w:rsid w:val="3A185287"/>
    <w:rsid w:val="3A1F46B8"/>
    <w:rsid w:val="3A355F60"/>
    <w:rsid w:val="3A505ABB"/>
    <w:rsid w:val="3A5A697F"/>
    <w:rsid w:val="3A692CD0"/>
    <w:rsid w:val="3A775BB9"/>
    <w:rsid w:val="3A7F2111"/>
    <w:rsid w:val="3AA415BF"/>
    <w:rsid w:val="3AB12AB3"/>
    <w:rsid w:val="3ABE7489"/>
    <w:rsid w:val="3ABF781F"/>
    <w:rsid w:val="3AC70715"/>
    <w:rsid w:val="3AD66CD5"/>
    <w:rsid w:val="3B05225A"/>
    <w:rsid w:val="3B10470B"/>
    <w:rsid w:val="3B143055"/>
    <w:rsid w:val="3B1D47B5"/>
    <w:rsid w:val="3B270929"/>
    <w:rsid w:val="3B2D37B8"/>
    <w:rsid w:val="3B38029B"/>
    <w:rsid w:val="3B3D5571"/>
    <w:rsid w:val="3B502CF7"/>
    <w:rsid w:val="3B623CB6"/>
    <w:rsid w:val="3B627AF9"/>
    <w:rsid w:val="3B673620"/>
    <w:rsid w:val="3B7E1FCF"/>
    <w:rsid w:val="3B9A1F29"/>
    <w:rsid w:val="3B9A62E7"/>
    <w:rsid w:val="3BBC270A"/>
    <w:rsid w:val="3BCE611F"/>
    <w:rsid w:val="3BD06AAD"/>
    <w:rsid w:val="3BD673D4"/>
    <w:rsid w:val="3C0479D5"/>
    <w:rsid w:val="3C206721"/>
    <w:rsid w:val="3C271B26"/>
    <w:rsid w:val="3C2C4395"/>
    <w:rsid w:val="3C310A0D"/>
    <w:rsid w:val="3C4B34B9"/>
    <w:rsid w:val="3C4C6F6A"/>
    <w:rsid w:val="3C4D6566"/>
    <w:rsid w:val="3C4F5CD1"/>
    <w:rsid w:val="3C663F87"/>
    <w:rsid w:val="3C6C691A"/>
    <w:rsid w:val="3C810DD3"/>
    <w:rsid w:val="3C8D24E8"/>
    <w:rsid w:val="3CA5660E"/>
    <w:rsid w:val="3CB13658"/>
    <w:rsid w:val="3CB13D35"/>
    <w:rsid w:val="3CB770A2"/>
    <w:rsid w:val="3CBA7977"/>
    <w:rsid w:val="3CBB4A3D"/>
    <w:rsid w:val="3CC02F45"/>
    <w:rsid w:val="3CD00B52"/>
    <w:rsid w:val="3CE4646B"/>
    <w:rsid w:val="3CEA288E"/>
    <w:rsid w:val="3D0D312C"/>
    <w:rsid w:val="3D1833FE"/>
    <w:rsid w:val="3D190C53"/>
    <w:rsid w:val="3D220BB0"/>
    <w:rsid w:val="3D2251DD"/>
    <w:rsid w:val="3D235BF0"/>
    <w:rsid w:val="3D272081"/>
    <w:rsid w:val="3D316F98"/>
    <w:rsid w:val="3D3319A1"/>
    <w:rsid w:val="3D446913"/>
    <w:rsid w:val="3D4704D8"/>
    <w:rsid w:val="3D555928"/>
    <w:rsid w:val="3D5E2933"/>
    <w:rsid w:val="3D5E7AA8"/>
    <w:rsid w:val="3D662F1C"/>
    <w:rsid w:val="3D6F2596"/>
    <w:rsid w:val="3D796230"/>
    <w:rsid w:val="3D7A5022"/>
    <w:rsid w:val="3D7C4968"/>
    <w:rsid w:val="3D924D6B"/>
    <w:rsid w:val="3D975710"/>
    <w:rsid w:val="3D9B313F"/>
    <w:rsid w:val="3D9B41D0"/>
    <w:rsid w:val="3D9C1792"/>
    <w:rsid w:val="3DB3129A"/>
    <w:rsid w:val="3DB6486B"/>
    <w:rsid w:val="3DCF1B87"/>
    <w:rsid w:val="3DD5126D"/>
    <w:rsid w:val="3DF16F16"/>
    <w:rsid w:val="3DF74FA8"/>
    <w:rsid w:val="3DFA54B4"/>
    <w:rsid w:val="3E02418B"/>
    <w:rsid w:val="3E131113"/>
    <w:rsid w:val="3E1B5E63"/>
    <w:rsid w:val="3E2064A3"/>
    <w:rsid w:val="3E257593"/>
    <w:rsid w:val="3E397F57"/>
    <w:rsid w:val="3E5323C8"/>
    <w:rsid w:val="3E5C0E54"/>
    <w:rsid w:val="3E5D15DE"/>
    <w:rsid w:val="3E6831F2"/>
    <w:rsid w:val="3E685E5E"/>
    <w:rsid w:val="3E704C35"/>
    <w:rsid w:val="3E7316CB"/>
    <w:rsid w:val="3E771FD5"/>
    <w:rsid w:val="3E832F5F"/>
    <w:rsid w:val="3E83729F"/>
    <w:rsid w:val="3EA35B23"/>
    <w:rsid w:val="3EAF44FF"/>
    <w:rsid w:val="3EB06BA3"/>
    <w:rsid w:val="3ED5235A"/>
    <w:rsid w:val="3EDA5340"/>
    <w:rsid w:val="3EDB78F9"/>
    <w:rsid w:val="3F0C6E47"/>
    <w:rsid w:val="3F0D28A6"/>
    <w:rsid w:val="3F18052A"/>
    <w:rsid w:val="3F284F00"/>
    <w:rsid w:val="3F292EC9"/>
    <w:rsid w:val="3F430A34"/>
    <w:rsid w:val="3F482A1F"/>
    <w:rsid w:val="3F5449DF"/>
    <w:rsid w:val="3F614632"/>
    <w:rsid w:val="3F6A6AC4"/>
    <w:rsid w:val="3F6B6300"/>
    <w:rsid w:val="3F7716E8"/>
    <w:rsid w:val="3F7F143C"/>
    <w:rsid w:val="3F8561CC"/>
    <w:rsid w:val="3F927DA1"/>
    <w:rsid w:val="3F9315BF"/>
    <w:rsid w:val="3FA73B7E"/>
    <w:rsid w:val="3FAB4A68"/>
    <w:rsid w:val="3FB86017"/>
    <w:rsid w:val="3FC955D0"/>
    <w:rsid w:val="3FD00262"/>
    <w:rsid w:val="3FD555BD"/>
    <w:rsid w:val="3FE93CC5"/>
    <w:rsid w:val="401B14D2"/>
    <w:rsid w:val="40334532"/>
    <w:rsid w:val="40403317"/>
    <w:rsid w:val="40446B32"/>
    <w:rsid w:val="404C2895"/>
    <w:rsid w:val="405B2402"/>
    <w:rsid w:val="405F175E"/>
    <w:rsid w:val="40635D8C"/>
    <w:rsid w:val="406870F5"/>
    <w:rsid w:val="406A69F7"/>
    <w:rsid w:val="4071065B"/>
    <w:rsid w:val="407E6EA8"/>
    <w:rsid w:val="40807EAE"/>
    <w:rsid w:val="408D50F6"/>
    <w:rsid w:val="408F4E71"/>
    <w:rsid w:val="40940A3E"/>
    <w:rsid w:val="409411F0"/>
    <w:rsid w:val="40A176E7"/>
    <w:rsid w:val="40C018E0"/>
    <w:rsid w:val="40C765F3"/>
    <w:rsid w:val="40CB19CC"/>
    <w:rsid w:val="40D57A9D"/>
    <w:rsid w:val="40EC510F"/>
    <w:rsid w:val="41003600"/>
    <w:rsid w:val="41017184"/>
    <w:rsid w:val="410D6716"/>
    <w:rsid w:val="41222C1A"/>
    <w:rsid w:val="412E3F32"/>
    <w:rsid w:val="413D07C9"/>
    <w:rsid w:val="413F68D3"/>
    <w:rsid w:val="414438B4"/>
    <w:rsid w:val="414C498A"/>
    <w:rsid w:val="41793F52"/>
    <w:rsid w:val="41821A2E"/>
    <w:rsid w:val="41901AAC"/>
    <w:rsid w:val="41907AEE"/>
    <w:rsid w:val="4193029E"/>
    <w:rsid w:val="41975536"/>
    <w:rsid w:val="419E6238"/>
    <w:rsid w:val="41C41CB7"/>
    <w:rsid w:val="41C4654D"/>
    <w:rsid w:val="41CB34B1"/>
    <w:rsid w:val="41D410B8"/>
    <w:rsid w:val="420914B6"/>
    <w:rsid w:val="420C00ED"/>
    <w:rsid w:val="42151553"/>
    <w:rsid w:val="421626ED"/>
    <w:rsid w:val="42170453"/>
    <w:rsid w:val="422B2C1C"/>
    <w:rsid w:val="422E5299"/>
    <w:rsid w:val="423C50E3"/>
    <w:rsid w:val="423D5CB1"/>
    <w:rsid w:val="423F75DD"/>
    <w:rsid w:val="42445B0F"/>
    <w:rsid w:val="42551D9D"/>
    <w:rsid w:val="426C7391"/>
    <w:rsid w:val="427464AC"/>
    <w:rsid w:val="427730A5"/>
    <w:rsid w:val="4291755D"/>
    <w:rsid w:val="42A1041E"/>
    <w:rsid w:val="42AF56CC"/>
    <w:rsid w:val="42C7371B"/>
    <w:rsid w:val="42D47E09"/>
    <w:rsid w:val="42D60159"/>
    <w:rsid w:val="42F869D2"/>
    <w:rsid w:val="431505AE"/>
    <w:rsid w:val="431C3DB9"/>
    <w:rsid w:val="43214064"/>
    <w:rsid w:val="43296C81"/>
    <w:rsid w:val="432B6C9F"/>
    <w:rsid w:val="433A5F1E"/>
    <w:rsid w:val="434F7D59"/>
    <w:rsid w:val="43513575"/>
    <w:rsid w:val="43527999"/>
    <w:rsid w:val="43553536"/>
    <w:rsid w:val="435B554B"/>
    <w:rsid w:val="436B23DE"/>
    <w:rsid w:val="43790671"/>
    <w:rsid w:val="438725B9"/>
    <w:rsid w:val="43DB1CDA"/>
    <w:rsid w:val="43E529F0"/>
    <w:rsid w:val="43F06CA6"/>
    <w:rsid w:val="440A782C"/>
    <w:rsid w:val="440D58DC"/>
    <w:rsid w:val="441E3344"/>
    <w:rsid w:val="44254AEB"/>
    <w:rsid w:val="442739BA"/>
    <w:rsid w:val="443029F6"/>
    <w:rsid w:val="443C20C1"/>
    <w:rsid w:val="44455943"/>
    <w:rsid w:val="444C5F5A"/>
    <w:rsid w:val="44616642"/>
    <w:rsid w:val="44646AE5"/>
    <w:rsid w:val="44776310"/>
    <w:rsid w:val="448F338E"/>
    <w:rsid w:val="448F5150"/>
    <w:rsid w:val="44955526"/>
    <w:rsid w:val="44972678"/>
    <w:rsid w:val="449E40F6"/>
    <w:rsid w:val="44B5545B"/>
    <w:rsid w:val="44C40B54"/>
    <w:rsid w:val="44E072DF"/>
    <w:rsid w:val="44E2703F"/>
    <w:rsid w:val="44F87075"/>
    <w:rsid w:val="44F95DC1"/>
    <w:rsid w:val="450B7240"/>
    <w:rsid w:val="451632B9"/>
    <w:rsid w:val="451976F0"/>
    <w:rsid w:val="451E29E2"/>
    <w:rsid w:val="4539627C"/>
    <w:rsid w:val="45407B4A"/>
    <w:rsid w:val="45440222"/>
    <w:rsid w:val="456E52FD"/>
    <w:rsid w:val="45850EA8"/>
    <w:rsid w:val="458C6EC9"/>
    <w:rsid w:val="45906394"/>
    <w:rsid w:val="45980FBB"/>
    <w:rsid w:val="45B03B1C"/>
    <w:rsid w:val="45B82094"/>
    <w:rsid w:val="45C340DD"/>
    <w:rsid w:val="45DB7DA8"/>
    <w:rsid w:val="45DC0D3E"/>
    <w:rsid w:val="45DE76AC"/>
    <w:rsid w:val="45F06093"/>
    <w:rsid w:val="45F60A50"/>
    <w:rsid w:val="46142D0C"/>
    <w:rsid w:val="465579F3"/>
    <w:rsid w:val="46587F63"/>
    <w:rsid w:val="467F3790"/>
    <w:rsid w:val="46970A81"/>
    <w:rsid w:val="46985757"/>
    <w:rsid w:val="46A37C55"/>
    <w:rsid w:val="46B036BF"/>
    <w:rsid w:val="46C0440B"/>
    <w:rsid w:val="46C77EF1"/>
    <w:rsid w:val="46CD57C5"/>
    <w:rsid w:val="46D21FAF"/>
    <w:rsid w:val="46DA4423"/>
    <w:rsid w:val="46E334CC"/>
    <w:rsid w:val="46E72700"/>
    <w:rsid w:val="46EB6D44"/>
    <w:rsid w:val="46FF481C"/>
    <w:rsid w:val="47041647"/>
    <w:rsid w:val="47282363"/>
    <w:rsid w:val="476E1CC6"/>
    <w:rsid w:val="47800217"/>
    <w:rsid w:val="47875B0B"/>
    <w:rsid w:val="479B4680"/>
    <w:rsid w:val="47A808C6"/>
    <w:rsid w:val="47CC4679"/>
    <w:rsid w:val="47F70B75"/>
    <w:rsid w:val="4811672E"/>
    <w:rsid w:val="482A7AF8"/>
    <w:rsid w:val="483F6AC2"/>
    <w:rsid w:val="484511A7"/>
    <w:rsid w:val="48454EEC"/>
    <w:rsid w:val="48461049"/>
    <w:rsid w:val="48647FB6"/>
    <w:rsid w:val="486A1FFE"/>
    <w:rsid w:val="487138F0"/>
    <w:rsid w:val="487A082A"/>
    <w:rsid w:val="48977084"/>
    <w:rsid w:val="48AE6A43"/>
    <w:rsid w:val="48B37EE7"/>
    <w:rsid w:val="48C310DA"/>
    <w:rsid w:val="48ED008C"/>
    <w:rsid w:val="48EF68E0"/>
    <w:rsid w:val="491A7B75"/>
    <w:rsid w:val="493776D8"/>
    <w:rsid w:val="493801BB"/>
    <w:rsid w:val="493F7B37"/>
    <w:rsid w:val="494C55B7"/>
    <w:rsid w:val="495B1ECB"/>
    <w:rsid w:val="49603D2B"/>
    <w:rsid w:val="49634756"/>
    <w:rsid w:val="497647B5"/>
    <w:rsid w:val="49792918"/>
    <w:rsid w:val="49B358F8"/>
    <w:rsid w:val="49BC5E3B"/>
    <w:rsid w:val="49BD712F"/>
    <w:rsid w:val="49D2408F"/>
    <w:rsid w:val="49DC4EAC"/>
    <w:rsid w:val="49E55BC5"/>
    <w:rsid w:val="49E9188B"/>
    <w:rsid w:val="4A056571"/>
    <w:rsid w:val="4A06032D"/>
    <w:rsid w:val="4A0B63A9"/>
    <w:rsid w:val="4A241D92"/>
    <w:rsid w:val="4A282C0D"/>
    <w:rsid w:val="4A4379A0"/>
    <w:rsid w:val="4A487C87"/>
    <w:rsid w:val="4A644756"/>
    <w:rsid w:val="4A7571D3"/>
    <w:rsid w:val="4A7B4D25"/>
    <w:rsid w:val="4A885695"/>
    <w:rsid w:val="4AA3489B"/>
    <w:rsid w:val="4AB709AB"/>
    <w:rsid w:val="4AD23E9E"/>
    <w:rsid w:val="4AD42F2D"/>
    <w:rsid w:val="4AE83B17"/>
    <w:rsid w:val="4B270924"/>
    <w:rsid w:val="4B3B1FE0"/>
    <w:rsid w:val="4B402DF3"/>
    <w:rsid w:val="4B405893"/>
    <w:rsid w:val="4B47370D"/>
    <w:rsid w:val="4B4A2A04"/>
    <w:rsid w:val="4B4E3BF2"/>
    <w:rsid w:val="4B612AEC"/>
    <w:rsid w:val="4B6240A9"/>
    <w:rsid w:val="4B6A7CD4"/>
    <w:rsid w:val="4B7A5291"/>
    <w:rsid w:val="4B7C0286"/>
    <w:rsid w:val="4B7E3FB2"/>
    <w:rsid w:val="4B85409E"/>
    <w:rsid w:val="4B8D6CB9"/>
    <w:rsid w:val="4B8F2DDD"/>
    <w:rsid w:val="4B91709C"/>
    <w:rsid w:val="4BB414B0"/>
    <w:rsid w:val="4BBD11D0"/>
    <w:rsid w:val="4BBE0E50"/>
    <w:rsid w:val="4BC02E56"/>
    <w:rsid w:val="4BD85564"/>
    <w:rsid w:val="4BE2120B"/>
    <w:rsid w:val="4BEC690D"/>
    <w:rsid w:val="4BEE5A69"/>
    <w:rsid w:val="4C176A14"/>
    <w:rsid w:val="4C1C63D6"/>
    <w:rsid w:val="4C325FA4"/>
    <w:rsid w:val="4C4153A3"/>
    <w:rsid w:val="4C500D31"/>
    <w:rsid w:val="4C5A2771"/>
    <w:rsid w:val="4C7F6F5D"/>
    <w:rsid w:val="4C864A35"/>
    <w:rsid w:val="4C8B7E80"/>
    <w:rsid w:val="4C8E4353"/>
    <w:rsid w:val="4C910676"/>
    <w:rsid w:val="4C985EF0"/>
    <w:rsid w:val="4C9E36A5"/>
    <w:rsid w:val="4CAB2556"/>
    <w:rsid w:val="4CBF4B6F"/>
    <w:rsid w:val="4CCE38DC"/>
    <w:rsid w:val="4CE04381"/>
    <w:rsid w:val="4CE91422"/>
    <w:rsid w:val="4CFD051B"/>
    <w:rsid w:val="4D175F8A"/>
    <w:rsid w:val="4D317D64"/>
    <w:rsid w:val="4D3229FD"/>
    <w:rsid w:val="4D39669C"/>
    <w:rsid w:val="4D396894"/>
    <w:rsid w:val="4D434EB5"/>
    <w:rsid w:val="4D4538EF"/>
    <w:rsid w:val="4D6D2260"/>
    <w:rsid w:val="4D713E66"/>
    <w:rsid w:val="4D7F78DB"/>
    <w:rsid w:val="4D8676F5"/>
    <w:rsid w:val="4D924A76"/>
    <w:rsid w:val="4D955C59"/>
    <w:rsid w:val="4DB824B4"/>
    <w:rsid w:val="4DBB15FF"/>
    <w:rsid w:val="4DBB403F"/>
    <w:rsid w:val="4DC33AEA"/>
    <w:rsid w:val="4DD23F54"/>
    <w:rsid w:val="4DD47439"/>
    <w:rsid w:val="4DD926D1"/>
    <w:rsid w:val="4DDA7A28"/>
    <w:rsid w:val="4DF036EE"/>
    <w:rsid w:val="4E015C76"/>
    <w:rsid w:val="4E0F6ADF"/>
    <w:rsid w:val="4E292C46"/>
    <w:rsid w:val="4E310026"/>
    <w:rsid w:val="4E4A2325"/>
    <w:rsid w:val="4E507692"/>
    <w:rsid w:val="4E591DB2"/>
    <w:rsid w:val="4E6367BA"/>
    <w:rsid w:val="4E726790"/>
    <w:rsid w:val="4E7809D0"/>
    <w:rsid w:val="4E886D5F"/>
    <w:rsid w:val="4EAA4684"/>
    <w:rsid w:val="4EAC4E6D"/>
    <w:rsid w:val="4EB13CCE"/>
    <w:rsid w:val="4EC51EDB"/>
    <w:rsid w:val="4EC97CA3"/>
    <w:rsid w:val="4ECF7385"/>
    <w:rsid w:val="4EDD3046"/>
    <w:rsid w:val="4EE33FE5"/>
    <w:rsid w:val="4EF13342"/>
    <w:rsid w:val="4F180584"/>
    <w:rsid w:val="4F182411"/>
    <w:rsid w:val="4F231B66"/>
    <w:rsid w:val="4F30413A"/>
    <w:rsid w:val="4F311119"/>
    <w:rsid w:val="4F36618E"/>
    <w:rsid w:val="4F3E1627"/>
    <w:rsid w:val="4F43529A"/>
    <w:rsid w:val="4F4F478B"/>
    <w:rsid w:val="4F523968"/>
    <w:rsid w:val="4F607362"/>
    <w:rsid w:val="4F6647C5"/>
    <w:rsid w:val="4F6B6B31"/>
    <w:rsid w:val="4F7E7FBA"/>
    <w:rsid w:val="4F833434"/>
    <w:rsid w:val="4F920952"/>
    <w:rsid w:val="4F984682"/>
    <w:rsid w:val="4FAC7B73"/>
    <w:rsid w:val="4FBD0D21"/>
    <w:rsid w:val="4FC61B2C"/>
    <w:rsid w:val="4FCC736D"/>
    <w:rsid w:val="4FCD0D34"/>
    <w:rsid w:val="4FDF7F83"/>
    <w:rsid w:val="4FED506B"/>
    <w:rsid w:val="50163074"/>
    <w:rsid w:val="50191D6D"/>
    <w:rsid w:val="501A6C55"/>
    <w:rsid w:val="50204DFF"/>
    <w:rsid w:val="503E1728"/>
    <w:rsid w:val="50450924"/>
    <w:rsid w:val="506723EC"/>
    <w:rsid w:val="50805B58"/>
    <w:rsid w:val="508E3344"/>
    <w:rsid w:val="509F33D4"/>
    <w:rsid w:val="50A20CC5"/>
    <w:rsid w:val="50A90064"/>
    <w:rsid w:val="50C535A8"/>
    <w:rsid w:val="50DC1AA8"/>
    <w:rsid w:val="50E448B9"/>
    <w:rsid w:val="50E707E6"/>
    <w:rsid w:val="50F86567"/>
    <w:rsid w:val="510E7404"/>
    <w:rsid w:val="51126AD5"/>
    <w:rsid w:val="5124051D"/>
    <w:rsid w:val="51244340"/>
    <w:rsid w:val="51301CE1"/>
    <w:rsid w:val="514C633F"/>
    <w:rsid w:val="515155E8"/>
    <w:rsid w:val="51563561"/>
    <w:rsid w:val="51A53976"/>
    <w:rsid w:val="51A943CF"/>
    <w:rsid w:val="51AC6EBA"/>
    <w:rsid w:val="51B136E2"/>
    <w:rsid w:val="51B14BED"/>
    <w:rsid w:val="51FD3763"/>
    <w:rsid w:val="52023458"/>
    <w:rsid w:val="520C2013"/>
    <w:rsid w:val="52101974"/>
    <w:rsid w:val="52133783"/>
    <w:rsid w:val="521B1F74"/>
    <w:rsid w:val="521B66BE"/>
    <w:rsid w:val="521E5BC5"/>
    <w:rsid w:val="52526454"/>
    <w:rsid w:val="52580F82"/>
    <w:rsid w:val="525C1CEF"/>
    <w:rsid w:val="52632F70"/>
    <w:rsid w:val="528B5767"/>
    <w:rsid w:val="529435B7"/>
    <w:rsid w:val="529C69A9"/>
    <w:rsid w:val="52A05116"/>
    <w:rsid w:val="52A77D4F"/>
    <w:rsid w:val="52B72342"/>
    <w:rsid w:val="52BB600B"/>
    <w:rsid w:val="52C529D4"/>
    <w:rsid w:val="52D33625"/>
    <w:rsid w:val="52DB3CFD"/>
    <w:rsid w:val="52EB05D3"/>
    <w:rsid w:val="52EE4A1B"/>
    <w:rsid w:val="53254D67"/>
    <w:rsid w:val="53311E35"/>
    <w:rsid w:val="53371F0F"/>
    <w:rsid w:val="533D6D49"/>
    <w:rsid w:val="534B6FE6"/>
    <w:rsid w:val="536011DE"/>
    <w:rsid w:val="5397225D"/>
    <w:rsid w:val="53994EB3"/>
    <w:rsid w:val="539B4BAF"/>
    <w:rsid w:val="53A3105E"/>
    <w:rsid w:val="53BF3ABB"/>
    <w:rsid w:val="53C64B93"/>
    <w:rsid w:val="53D02869"/>
    <w:rsid w:val="53D63625"/>
    <w:rsid w:val="53E25920"/>
    <w:rsid w:val="53F50A9E"/>
    <w:rsid w:val="53FE72B3"/>
    <w:rsid w:val="54023DDF"/>
    <w:rsid w:val="540431FD"/>
    <w:rsid w:val="541E2DD9"/>
    <w:rsid w:val="54251CA9"/>
    <w:rsid w:val="543B4C01"/>
    <w:rsid w:val="54446DCC"/>
    <w:rsid w:val="54592BF4"/>
    <w:rsid w:val="54663200"/>
    <w:rsid w:val="54832E4E"/>
    <w:rsid w:val="548A6C60"/>
    <w:rsid w:val="54A1578C"/>
    <w:rsid w:val="54A61260"/>
    <w:rsid w:val="54A83D07"/>
    <w:rsid w:val="54AC7D0C"/>
    <w:rsid w:val="54BA27E5"/>
    <w:rsid w:val="54C2369C"/>
    <w:rsid w:val="54F501CE"/>
    <w:rsid w:val="54F64B1D"/>
    <w:rsid w:val="552C7D51"/>
    <w:rsid w:val="55352D36"/>
    <w:rsid w:val="55367BF4"/>
    <w:rsid w:val="55486565"/>
    <w:rsid w:val="555D33E0"/>
    <w:rsid w:val="555E3423"/>
    <w:rsid w:val="5560645C"/>
    <w:rsid w:val="5577638E"/>
    <w:rsid w:val="55793155"/>
    <w:rsid w:val="5594082D"/>
    <w:rsid w:val="55A407A5"/>
    <w:rsid w:val="55B1164D"/>
    <w:rsid w:val="55B4735E"/>
    <w:rsid w:val="55BB221D"/>
    <w:rsid w:val="55CD1687"/>
    <w:rsid w:val="55EB16E2"/>
    <w:rsid w:val="56111A2E"/>
    <w:rsid w:val="5612283D"/>
    <w:rsid w:val="56371459"/>
    <w:rsid w:val="563C6522"/>
    <w:rsid w:val="563E23DC"/>
    <w:rsid w:val="56440315"/>
    <w:rsid w:val="56484633"/>
    <w:rsid w:val="564D3EBA"/>
    <w:rsid w:val="56602203"/>
    <w:rsid w:val="56690B07"/>
    <w:rsid w:val="566F5E35"/>
    <w:rsid w:val="567A03ED"/>
    <w:rsid w:val="568642C5"/>
    <w:rsid w:val="568A49DA"/>
    <w:rsid w:val="569045D5"/>
    <w:rsid w:val="56944E69"/>
    <w:rsid w:val="5698473A"/>
    <w:rsid w:val="569D1E0F"/>
    <w:rsid w:val="56AC419F"/>
    <w:rsid w:val="56BA049B"/>
    <w:rsid w:val="56CD76DC"/>
    <w:rsid w:val="56D93F7F"/>
    <w:rsid w:val="56EA1866"/>
    <w:rsid w:val="56FB706B"/>
    <w:rsid w:val="5713182F"/>
    <w:rsid w:val="5728407C"/>
    <w:rsid w:val="57295D0E"/>
    <w:rsid w:val="572C324C"/>
    <w:rsid w:val="5731445C"/>
    <w:rsid w:val="57404D9A"/>
    <w:rsid w:val="574E0DE4"/>
    <w:rsid w:val="575701B5"/>
    <w:rsid w:val="575728F6"/>
    <w:rsid w:val="57596AAC"/>
    <w:rsid w:val="57724591"/>
    <w:rsid w:val="577D38CF"/>
    <w:rsid w:val="57852538"/>
    <w:rsid w:val="57863AB5"/>
    <w:rsid w:val="57953C42"/>
    <w:rsid w:val="57B011A7"/>
    <w:rsid w:val="57B51470"/>
    <w:rsid w:val="57CF3679"/>
    <w:rsid w:val="57D6391D"/>
    <w:rsid w:val="57FF4732"/>
    <w:rsid w:val="58076FF3"/>
    <w:rsid w:val="5809151C"/>
    <w:rsid w:val="580B5946"/>
    <w:rsid w:val="580E61DA"/>
    <w:rsid w:val="581F6565"/>
    <w:rsid w:val="58214023"/>
    <w:rsid w:val="5829015F"/>
    <w:rsid w:val="582F1895"/>
    <w:rsid w:val="58302CCE"/>
    <w:rsid w:val="58474CE2"/>
    <w:rsid w:val="584B6A8E"/>
    <w:rsid w:val="58532FAC"/>
    <w:rsid w:val="585A78D7"/>
    <w:rsid w:val="585C6786"/>
    <w:rsid w:val="58793674"/>
    <w:rsid w:val="58804FBD"/>
    <w:rsid w:val="589408A7"/>
    <w:rsid w:val="58AE7BC9"/>
    <w:rsid w:val="58C270CB"/>
    <w:rsid w:val="58C62D76"/>
    <w:rsid w:val="58CF29FE"/>
    <w:rsid w:val="58D0053D"/>
    <w:rsid w:val="58E53798"/>
    <w:rsid w:val="58EB0542"/>
    <w:rsid w:val="59021A1C"/>
    <w:rsid w:val="590525A9"/>
    <w:rsid w:val="59296D9D"/>
    <w:rsid w:val="594B3F35"/>
    <w:rsid w:val="595E268E"/>
    <w:rsid w:val="596E3BBB"/>
    <w:rsid w:val="597B223C"/>
    <w:rsid w:val="5984486C"/>
    <w:rsid w:val="598B13F5"/>
    <w:rsid w:val="598C40A0"/>
    <w:rsid w:val="59CA4869"/>
    <w:rsid w:val="59DA647E"/>
    <w:rsid w:val="59DB2C9B"/>
    <w:rsid w:val="59DF69B6"/>
    <w:rsid w:val="59E50854"/>
    <w:rsid w:val="59E55513"/>
    <w:rsid w:val="59E72733"/>
    <w:rsid w:val="59F36630"/>
    <w:rsid w:val="59FF2B51"/>
    <w:rsid w:val="5A0F540D"/>
    <w:rsid w:val="5A556E1A"/>
    <w:rsid w:val="5A651E0C"/>
    <w:rsid w:val="5A664C68"/>
    <w:rsid w:val="5A682205"/>
    <w:rsid w:val="5A7526FC"/>
    <w:rsid w:val="5A81369E"/>
    <w:rsid w:val="5A845B5E"/>
    <w:rsid w:val="5AAE408E"/>
    <w:rsid w:val="5AAF369C"/>
    <w:rsid w:val="5AB0241F"/>
    <w:rsid w:val="5AB843B5"/>
    <w:rsid w:val="5ACD0EA9"/>
    <w:rsid w:val="5AD02DFD"/>
    <w:rsid w:val="5AE36B88"/>
    <w:rsid w:val="5AF17C5E"/>
    <w:rsid w:val="5AFA3D08"/>
    <w:rsid w:val="5B3054AA"/>
    <w:rsid w:val="5B336D3B"/>
    <w:rsid w:val="5B3507ED"/>
    <w:rsid w:val="5B362FCA"/>
    <w:rsid w:val="5B3A3ADF"/>
    <w:rsid w:val="5B410361"/>
    <w:rsid w:val="5B482447"/>
    <w:rsid w:val="5B544553"/>
    <w:rsid w:val="5B5753F8"/>
    <w:rsid w:val="5B6620AC"/>
    <w:rsid w:val="5B801C76"/>
    <w:rsid w:val="5B86794A"/>
    <w:rsid w:val="5B8D15CD"/>
    <w:rsid w:val="5BD11B73"/>
    <w:rsid w:val="5BEB17D8"/>
    <w:rsid w:val="5C0500E3"/>
    <w:rsid w:val="5C100F9D"/>
    <w:rsid w:val="5C1166E3"/>
    <w:rsid w:val="5C155F59"/>
    <w:rsid w:val="5C354FC9"/>
    <w:rsid w:val="5C3D7A15"/>
    <w:rsid w:val="5C4C3758"/>
    <w:rsid w:val="5C656BA5"/>
    <w:rsid w:val="5C8B2F32"/>
    <w:rsid w:val="5C8B55A0"/>
    <w:rsid w:val="5C8D7278"/>
    <w:rsid w:val="5C9A1CDC"/>
    <w:rsid w:val="5CC75878"/>
    <w:rsid w:val="5CDD02C3"/>
    <w:rsid w:val="5CDF0826"/>
    <w:rsid w:val="5CEA2BC1"/>
    <w:rsid w:val="5CF74B37"/>
    <w:rsid w:val="5CF83B05"/>
    <w:rsid w:val="5D035192"/>
    <w:rsid w:val="5D0C6764"/>
    <w:rsid w:val="5D193B8A"/>
    <w:rsid w:val="5D1F4ECE"/>
    <w:rsid w:val="5D2F4A70"/>
    <w:rsid w:val="5D446018"/>
    <w:rsid w:val="5D48394B"/>
    <w:rsid w:val="5D4A312B"/>
    <w:rsid w:val="5D4B7080"/>
    <w:rsid w:val="5D4E2885"/>
    <w:rsid w:val="5D5C5F9F"/>
    <w:rsid w:val="5D631442"/>
    <w:rsid w:val="5D663F28"/>
    <w:rsid w:val="5D66487A"/>
    <w:rsid w:val="5D787776"/>
    <w:rsid w:val="5D971C4C"/>
    <w:rsid w:val="5DAB143A"/>
    <w:rsid w:val="5DD357A5"/>
    <w:rsid w:val="5DD757C3"/>
    <w:rsid w:val="5DE35ADB"/>
    <w:rsid w:val="5DFB357C"/>
    <w:rsid w:val="5E083EB7"/>
    <w:rsid w:val="5E1C2987"/>
    <w:rsid w:val="5E2864D0"/>
    <w:rsid w:val="5E351333"/>
    <w:rsid w:val="5E3C6576"/>
    <w:rsid w:val="5E494511"/>
    <w:rsid w:val="5E4F20DA"/>
    <w:rsid w:val="5E5317F3"/>
    <w:rsid w:val="5E8079CF"/>
    <w:rsid w:val="5E8419B3"/>
    <w:rsid w:val="5EB44FC0"/>
    <w:rsid w:val="5EB76A57"/>
    <w:rsid w:val="5ED54EDB"/>
    <w:rsid w:val="5ED944FD"/>
    <w:rsid w:val="5EE53805"/>
    <w:rsid w:val="5EF46636"/>
    <w:rsid w:val="5EFF05D3"/>
    <w:rsid w:val="5F205220"/>
    <w:rsid w:val="5F2572D8"/>
    <w:rsid w:val="5F327AE6"/>
    <w:rsid w:val="5F49493D"/>
    <w:rsid w:val="5F4F7393"/>
    <w:rsid w:val="5F5A2F55"/>
    <w:rsid w:val="5F800F15"/>
    <w:rsid w:val="5F816A93"/>
    <w:rsid w:val="5F826051"/>
    <w:rsid w:val="5F885147"/>
    <w:rsid w:val="5F8D3496"/>
    <w:rsid w:val="5F8F79DC"/>
    <w:rsid w:val="5F9F2289"/>
    <w:rsid w:val="5FA00F6C"/>
    <w:rsid w:val="5FA12D39"/>
    <w:rsid w:val="5FBA395F"/>
    <w:rsid w:val="5FBA5966"/>
    <w:rsid w:val="5FBD4362"/>
    <w:rsid w:val="5FD97DB6"/>
    <w:rsid w:val="5FDC5DB4"/>
    <w:rsid w:val="5FF60AC8"/>
    <w:rsid w:val="5FFE006B"/>
    <w:rsid w:val="601A26C3"/>
    <w:rsid w:val="601F0157"/>
    <w:rsid w:val="60264CE8"/>
    <w:rsid w:val="60340230"/>
    <w:rsid w:val="6040432D"/>
    <w:rsid w:val="60425E29"/>
    <w:rsid w:val="60626C20"/>
    <w:rsid w:val="60706A78"/>
    <w:rsid w:val="608F7640"/>
    <w:rsid w:val="60946DAF"/>
    <w:rsid w:val="609B7F8F"/>
    <w:rsid w:val="60C06FD6"/>
    <w:rsid w:val="60C321DA"/>
    <w:rsid w:val="60D552DB"/>
    <w:rsid w:val="60D73548"/>
    <w:rsid w:val="60D833DA"/>
    <w:rsid w:val="60E645AB"/>
    <w:rsid w:val="60EA6E44"/>
    <w:rsid w:val="60EC2CBA"/>
    <w:rsid w:val="60F535F1"/>
    <w:rsid w:val="60FE4EA7"/>
    <w:rsid w:val="610A00CC"/>
    <w:rsid w:val="6127057C"/>
    <w:rsid w:val="612833FF"/>
    <w:rsid w:val="61424FBE"/>
    <w:rsid w:val="61765199"/>
    <w:rsid w:val="617D559D"/>
    <w:rsid w:val="617E27AF"/>
    <w:rsid w:val="61844B11"/>
    <w:rsid w:val="619141E0"/>
    <w:rsid w:val="619817AB"/>
    <w:rsid w:val="61A70218"/>
    <w:rsid w:val="61B2407C"/>
    <w:rsid w:val="61B246B8"/>
    <w:rsid w:val="61B31E2C"/>
    <w:rsid w:val="61B651F3"/>
    <w:rsid w:val="61B714EC"/>
    <w:rsid w:val="61C610D0"/>
    <w:rsid w:val="61CC2D28"/>
    <w:rsid w:val="61F06200"/>
    <w:rsid w:val="61F17317"/>
    <w:rsid w:val="62041EA2"/>
    <w:rsid w:val="62100FF7"/>
    <w:rsid w:val="621B542C"/>
    <w:rsid w:val="6231045B"/>
    <w:rsid w:val="62371F2F"/>
    <w:rsid w:val="623B0245"/>
    <w:rsid w:val="623E2F26"/>
    <w:rsid w:val="62472072"/>
    <w:rsid w:val="62515753"/>
    <w:rsid w:val="626019CF"/>
    <w:rsid w:val="626A494B"/>
    <w:rsid w:val="626B6B25"/>
    <w:rsid w:val="62780EB4"/>
    <w:rsid w:val="62967AF5"/>
    <w:rsid w:val="62A201A4"/>
    <w:rsid w:val="62A773CB"/>
    <w:rsid w:val="62AE2ECD"/>
    <w:rsid w:val="62B6110B"/>
    <w:rsid w:val="62CF4A53"/>
    <w:rsid w:val="62D01811"/>
    <w:rsid w:val="62E4391D"/>
    <w:rsid w:val="62F23049"/>
    <w:rsid w:val="63026ED7"/>
    <w:rsid w:val="630C63B9"/>
    <w:rsid w:val="634C244A"/>
    <w:rsid w:val="63581625"/>
    <w:rsid w:val="635902CD"/>
    <w:rsid w:val="6359154E"/>
    <w:rsid w:val="63660C1E"/>
    <w:rsid w:val="636810D4"/>
    <w:rsid w:val="63AB150B"/>
    <w:rsid w:val="63C11EF5"/>
    <w:rsid w:val="63C40D91"/>
    <w:rsid w:val="63C55572"/>
    <w:rsid w:val="63C90630"/>
    <w:rsid w:val="63CC1082"/>
    <w:rsid w:val="63D94F4D"/>
    <w:rsid w:val="63E271B2"/>
    <w:rsid w:val="63F54718"/>
    <w:rsid w:val="63F77EDC"/>
    <w:rsid w:val="63FA567E"/>
    <w:rsid w:val="640A4B8F"/>
    <w:rsid w:val="640C4D77"/>
    <w:rsid w:val="640F772C"/>
    <w:rsid w:val="642E5B37"/>
    <w:rsid w:val="64480456"/>
    <w:rsid w:val="644C3818"/>
    <w:rsid w:val="64706BBE"/>
    <w:rsid w:val="64933AA4"/>
    <w:rsid w:val="6499665B"/>
    <w:rsid w:val="64C144B8"/>
    <w:rsid w:val="64C466DC"/>
    <w:rsid w:val="64DB766F"/>
    <w:rsid w:val="64DD6515"/>
    <w:rsid w:val="64E65D23"/>
    <w:rsid w:val="64EE692F"/>
    <w:rsid w:val="64F20786"/>
    <w:rsid w:val="64F2095B"/>
    <w:rsid w:val="64FA06D8"/>
    <w:rsid w:val="6500497D"/>
    <w:rsid w:val="65071118"/>
    <w:rsid w:val="650C70AE"/>
    <w:rsid w:val="65266D7F"/>
    <w:rsid w:val="652909A9"/>
    <w:rsid w:val="65391AD6"/>
    <w:rsid w:val="65875DAD"/>
    <w:rsid w:val="658967A7"/>
    <w:rsid w:val="65962C93"/>
    <w:rsid w:val="659C00AC"/>
    <w:rsid w:val="659F0B5B"/>
    <w:rsid w:val="65BC3130"/>
    <w:rsid w:val="65CB36A4"/>
    <w:rsid w:val="65D0128E"/>
    <w:rsid w:val="65D63F94"/>
    <w:rsid w:val="65E848BE"/>
    <w:rsid w:val="66040F4D"/>
    <w:rsid w:val="660874F0"/>
    <w:rsid w:val="66192A30"/>
    <w:rsid w:val="661E59C9"/>
    <w:rsid w:val="6621310D"/>
    <w:rsid w:val="66277FAF"/>
    <w:rsid w:val="66355606"/>
    <w:rsid w:val="664B5C0B"/>
    <w:rsid w:val="665244EE"/>
    <w:rsid w:val="66547455"/>
    <w:rsid w:val="666B43E4"/>
    <w:rsid w:val="6678346C"/>
    <w:rsid w:val="66A32FBE"/>
    <w:rsid w:val="66BF0A49"/>
    <w:rsid w:val="66C979C9"/>
    <w:rsid w:val="66CF222B"/>
    <w:rsid w:val="66E568FC"/>
    <w:rsid w:val="66E7282E"/>
    <w:rsid w:val="66FB11F6"/>
    <w:rsid w:val="67022E0D"/>
    <w:rsid w:val="670C4B07"/>
    <w:rsid w:val="670C54C0"/>
    <w:rsid w:val="6710610D"/>
    <w:rsid w:val="67342D1E"/>
    <w:rsid w:val="67445712"/>
    <w:rsid w:val="675D681D"/>
    <w:rsid w:val="67617AFA"/>
    <w:rsid w:val="67735DE9"/>
    <w:rsid w:val="6797706E"/>
    <w:rsid w:val="679A2557"/>
    <w:rsid w:val="67A834CD"/>
    <w:rsid w:val="67A858DB"/>
    <w:rsid w:val="67AC4269"/>
    <w:rsid w:val="67AE0C55"/>
    <w:rsid w:val="67B32DD2"/>
    <w:rsid w:val="67BE757E"/>
    <w:rsid w:val="67CB1910"/>
    <w:rsid w:val="67CE4FEE"/>
    <w:rsid w:val="67DF7CDE"/>
    <w:rsid w:val="67EF00DF"/>
    <w:rsid w:val="67FC1B7A"/>
    <w:rsid w:val="67FE4166"/>
    <w:rsid w:val="68030539"/>
    <w:rsid w:val="68095AC2"/>
    <w:rsid w:val="680C62B4"/>
    <w:rsid w:val="680D3724"/>
    <w:rsid w:val="681763AE"/>
    <w:rsid w:val="681C18C6"/>
    <w:rsid w:val="68235A84"/>
    <w:rsid w:val="682B5C1C"/>
    <w:rsid w:val="684809E3"/>
    <w:rsid w:val="684C1F1B"/>
    <w:rsid w:val="684D7EDA"/>
    <w:rsid w:val="685718E3"/>
    <w:rsid w:val="685861FF"/>
    <w:rsid w:val="685B0D6C"/>
    <w:rsid w:val="685D47FE"/>
    <w:rsid w:val="68637969"/>
    <w:rsid w:val="686E7375"/>
    <w:rsid w:val="6872313F"/>
    <w:rsid w:val="687264E6"/>
    <w:rsid w:val="6887272F"/>
    <w:rsid w:val="68A25EC5"/>
    <w:rsid w:val="68A85A76"/>
    <w:rsid w:val="68AA2144"/>
    <w:rsid w:val="68AB2361"/>
    <w:rsid w:val="68B4465C"/>
    <w:rsid w:val="68C01A2D"/>
    <w:rsid w:val="68C401C3"/>
    <w:rsid w:val="68C542EB"/>
    <w:rsid w:val="68DE4FFE"/>
    <w:rsid w:val="68E66707"/>
    <w:rsid w:val="68E82235"/>
    <w:rsid w:val="68EC77BF"/>
    <w:rsid w:val="69066B19"/>
    <w:rsid w:val="692C37E6"/>
    <w:rsid w:val="692E6AC2"/>
    <w:rsid w:val="69351647"/>
    <w:rsid w:val="694F6C0C"/>
    <w:rsid w:val="69560D9F"/>
    <w:rsid w:val="695F5461"/>
    <w:rsid w:val="696E0A32"/>
    <w:rsid w:val="699D2BE7"/>
    <w:rsid w:val="69A45758"/>
    <w:rsid w:val="69A833BD"/>
    <w:rsid w:val="69A86D71"/>
    <w:rsid w:val="69C070C2"/>
    <w:rsid w:val="69C53327"/>
    <w:rsid w:val="69C80569"/>
    <w:rsid w:val="69E56543"/>
    <w:rsid w:val="69F37CD2"/>
    <w:rsid w:val="6A0F1F08"/>
    <w:rsid w:val="6A301F56"/>
    <w:rsid w:val="6A4D316F"/>
    <w:rsid w:val="6A593BA7"/>
    <w:rsid w:val="6A71067F"/>
    <w:rsid w:val="6ACB5748"/>
    <w:rsid w:val="6B0F3C47"/>
    <w:rsid w:val="6B200BC6"/>
    <w:rsid w:val="6B2A14B2"/>
    <w:rsid w:val="6B2A713F"/>
    <w:rsid w:val="6B3B1F61"/>
    <w:rsid w:val="6B4037CD"/>
    <w:rsid w:val="6B442A0C"/>
    <w:rsid w:val="6B49794F"/>
    <w:rsid w:val="6B4F0199"/>
    <w:rsid w:val="6B7931AF"/>
    <w:rsid w:val="6B7A347F"/>
    <w:rsid w:val="6B8A74AA"/>
    <w:rsid w:val="6B912A35"/>
    <w:rsid w:val="6B9735AF"/>
    <w:rsid w:val="6B9D0F9E"/>
    <w:rsid w:val="6BA53029"/>
    <w:rsid w:val="6BA77259"/>
    <w:rsid w:val="6BC46894"/>
    <w:rsid w:val="6BCF71ED"/>
    <w:rsid w:val="6BDF33F9"/>
    <w:rsid w:val="6BE1053C"/>
    <w:rsid w:val="6BFE454F"/>
    <w:rsid w:val="6C055095"/>
    <w:rsid w:val="6C363058"/>
    <w:rsid w:val="6C460D0E"/>
    <w:rsid w:val="6C4A6633"/>
    <w:rsid w:val="6C5C46AC"/>
    <w:rsid w:val="6C667457"/>
    <w:rsid w:val="6C710ECC"/>
    <w:rsid w:val="6C7F0147"/>
    <w:rsid w:val="6C812181"/>
    <w:rsid w:val="6C9C7F36"/>
    <w:rsid w:val="6C9D075A"/>
    <w:rsid w:val="6CA67945"/>
    <w:rsid w:val="6CAA51CB"/>
    <w:rsid w:val="6CAE10B7"/>
    <w:rsid w:val="6CB01D8D"/>
    <w:rsid w:val="6CB06CB1"/>
    <w:rsid w:val="6CB5010A"/>
    <w:rsid w:val="6CC06B85"/>
    <w:rsid w:val="6CC3522C"/>
    <w:rsid w:val="6CC53F8B"/>
    <w:rsid w:val="6CDC0A79"/>
    <w:rsid w:val="6CED583C"/>
    <w:rsid w:val="6CF7663B"/>
    <w:rsid w:val="6CFA0847"/>
    <w:rsid w:val="6CFF5361"/>
    <w:rsid w:val="6D0655C0"/>
    <w:rsid w:val="6D082886"/>
    <w:rsid w:val="6D1A38D3"/>
    <w:rsid w:val="6D1B0137"/>
    <w:rsid w:val="6D244942"/>
    <w:rsid w:val="6D285595"/>
    <w:rsid w:val="6D291796"/>
    <w:rsid w:val="6D382DE4"/>
    <w:rsid w:val="6D566F0F"/>
    <w:rsid w:val="6D60689F"/>
    <w:rsid w:val="6D6410E7"/>
    <w:rsid w:val="6D7C61E2"/>
    <w:rsid w:val="6D836F72"/>
    <w:rsid w:val="6D912733"/>
    <w:rsid w:val="6D9E63E0"/>
    <w:rsid w:val="6DA279E1"/>
    <w:rsid w:val="6DAC5479"/>
    <w:rsid w:val="6DB5196D"/>
    <w:rsid w:val="6DC43F4C"/>
    <w:rsid w:val="6DC90E5A"/>
    <w:rsid w:val="6DCA1E5E"/>
    <w:rsid w:val="6DCC4176"/>
    <w:rsid w:val="6DD10EE8"/>
    <w:rsid w:val="6DD4039C"/>
    <w:rsid w:val="6DD837B9"/>
    <w:rsid w:val="6DDE3DAF"/>
    <w:rsid w:val="6DDF2DDF"/>
    <w:rsid w:val="6DE87BA6"/>
    <w:rsid w:val="6E015363"/>
    <w:rsid w:val="6E01608A"/>
    <w:rsid w:val="6E0B2FFD"/>
    <w:rsid w:val="6E2D223C"/>
    <w:rsid w:val="6E3241BE"/>
    <w:rsid w:val="6E38130F"/>
    <w:rsid w:val="6E506FD4"/>
    <w:rsid w:val="6E621A77"/>
    <w:rsid w:val="6E740206"/>
    <w:rsid w:val="6E7D5F0D"/>
    <w:rsid w:val="6E8943C9"/>
    <w:rsid w:val="6E9D50CB"/>
    <w:rsid w:val="6E9E4C09"/>
    <w:rsid w:val="6EA629A2"/>
    <w:rsid w:val="6EB36C9B"/>
    <w:rsid w:val="6EB97A9D"/>
    <w:rsid w:val="6ECE29CC"/>
    <w:rsid w:val="6ED04309"/>
    <w:rsid w:val="6ED44019"/>
    <w:rsid w:val="6EDF586A"/>
    <w:rsid w:val="6EE640A8"/>
    <w:rsid w:val="6EF10A90"/>
    <w:rsid w:val="6F1218C9"/>
    <w:rsid w:val="6F1E0E67"/>
    <w:rsid w:val="6F4E0376"/>
    <w:rsid w:val="6F5001B3"/>
    <w:rsid w:val="6F504F2E"/>
    <w:rsid w:val="6F6A6938"/>
    <w:rsid w:val="6F822D8B"/>
    <w:rsid w:val="6F85698C"/>
    <w:rsid w:val="6F90158F"/>
    <w:rsid w:val="6F932E87"/>
    <w:rsid w:val="6F9E42AB"/>
    <w:rsid w:val="6F9E4317"/>
    <w:rsid w:val="6FB755DE"/>
    <w:rsid w:val="6FCD19EA"/>
    <w:rsid w:val="6FD30844"/>
    <w:rsid w:val="6FD41F8C"/>
    <w:rsid w:val="6FDF5EB9"/>
    <w:rsid w:val="6FEE357B"/>
    <w:rsid w:val="6FFF1868"/>
    <w:rsid w:val="70206203"/>
    <w:rsid w:val="702754E8"/>
    <w:rsid w:val="70331AC5"/>
    <w:rsid w:val="704B1C2A"/>
    <w:rsid w:val="70833256"/>
    <w:rsid w:val="70896DF1"/>
    <w:rsid w:val="70A74A7A"/>
    <w:rsid w:val="70CF1B21"/>
    <w:rsid w:val="70D40EDE"/>
    <w:rsid w:val="70E42132"/>
    <w:rsid w:val="70F274FC"/>
    <w:rsid w:val="70F61B9D"/>
    <w:rsid w:val="71094101"/>
    <w:rsid w:val="710C31B5"/>
    <w:rsid w:val="71193929"/>
    <w:rsid w:val="713801D6"/>
    <w:rsid w:val="714D4E9F"/>
    <w:rsid w:val="714F3A1D"/>
    <w:rsid w:val="715F4C2D"/>
    <w:rsid w:val="716F2E9F"/>
    <w:rsid w:val="71937BCB"/>
    <w:rsid w:val="71974245"/>
    <w:rsid w:val="719C621B"/>
    <w:rsid w:val="71A02497"/>
    <w:rsid w:val="71AB5568"/>
    <w:rsid w:val="71AE42F1"/>
    <w:rsid w:val="71B15694"/>
    <w:rsid w:val="71B63F24"/>
    <w:rsid w:val="71ED389A"/>
    <w:rsid w:val="71F9130C"/>
    <w:rsid w:val="721A4F0B"/>
    <w:rsid w:val="721B36E4"/>
    <w:rsid w:val="721D3791"/>
    <w:rsid w:val="722668D2"/>
    <w:rsid w:val="722D1411"/>
    <w:rsid w:val="722F78FB"/>
    <w:rsid w:val="723D06ED"/>
    <w:rsid w:val="723D67C5"/>
    <w:rsid w:val="724D0F19"/>
    <w:rsid w:val="72517D41"/>
    <w:rsid w:val="726118ED"/>
    <w:rsid w:val="726317C1"/>
    <w:rsid w:val="7288343E"/>
    <w:rsid w:val="728B54FA"/>
    <w:rsid w:val="72A05B9C"/>
    <w:rsid w:val="72A16B66"/>
    <w:rsid w:val="72A25AEE"/>
    <w:rsid w:val="72AF5368"/>
    <w:rsid w:val="72BC2E0B"/>
    <w:rsid w:val="72BF60CA"/>
    <w:rsid w:val="72D57759"/>
    <w:rsid w:val="72EA1DC7"/>
    <w:rsid w:val="72F41282"/>
    <w:rsid w:val="72FE7563"/>
    <w:rsid w:val="730E1467"/>
    <w:rsid w:val="732715E5"/>
    <w:rsid w:val="73357973"/>
    <w:rsid w:val="733D0D32"/>
    <w:rsid w:val="733D2693"/>
    <w:rsid w:val="73417693"/>
    <w:rsid w:val="73461D91"/>
    <w:rsid w:val="734F0CE7"/>
    <w:rsid w:val="73565D79"/>
    <w:rsid w:val="735D1B74"/>
    <w:rsid w:val="735E7031"/>
    <w:rsid w:val="73621B8E"/>
    <w:rsid w:val="73694210"/>
    <w:rsid w:val="736B0707"/>
    <w:rsid w:val="738A7C96"/>
    <w:rsid w:val="73977605"/>
    <w:rsid w:val="73A30DE0"/>
    <w:rsid w:val="73C00678"/>
    <w:rsid w:val="73CF6BEC"/>
    <w:rsid w:val="73D153A5"/>
    <w:rsid w:val="73D411F1"/>
    <w:rsid w:val="73DD5694"/>
    <w:rsid w:val="73FB3EB7"/>
    <w:rsid w:val="74064CDC"/>
    <w:rsid w:val="740D6E64"/>
    <w:rsid w:val="7428411E"/>
    <w:rsid w:val="74444FD6"/>
    <w:rsid w:val="744F5A05"/>
    <w:rsid w:val="74716CB1"/>
    <w:rsid w:val="748603EC"/>
    <w:rsid w:val="74A46A79"/>
    <w:rsid w:val="74B51ECE"/>
    <w:rsid w:val="74B76993"/>
    <w:rsid w:val="74B864F1"/>
    <w:rsid w:val="74BB6FA7"/>
    <w:rsid w:val="74CC43B8"/>
    <w:rsid w:val="74CC4A9D"/>
    <w:rsid w:val="74DB4AD4"/>
    <w:rsid w:val="74E044A9"/>
    <w:rsid w:val="74FA3E77"/>
    <w:rsid w:val="74FE769F"/>
    <w:rsid w:val="75006A5B"/>
    <w:rsid w:val="7516331A"/>
    <w:rsid w:val="751C3961"/>
    <w:rsid w:val="751C5C95"/>
    <w:rsid w:val="7528075D"/>
    <w:rsid w:val="752C37FF"/>
    <w:rsid w:val="7535111C"/>
    <w:rsid w:val="753811DE"/>
    <w:rsid w:val="753A7507"/>
    <w:rsid w:val="75411FCE"/>
    <w:rsid w:val="75440984"/>
    <w:rsid w:val="754A221E"/>
    <w:rsid w:val="755579B1"/>
    <w:rsid w:val="756B66D6"/>
    <w:rsid w:val="7571258C"/>
    <w:rsid w:val="75815A32"/>
    <w:rsid w:val="75894102"/>
    <w:rsid w:val="758A40BE"/>
    <w:rsid w:val="75967DFA"/>
    <w:rsid w:val="75987640"/>
    <w:rsid w:val="75B217C2"/>
    <w:rsid w:val="75B66E9B"/>
    <w:rsid w:val="75B76440"/>
    <w:rsid w:val="75BE67D4"/>
    <w:rsid w:val="75C2004C"/>
    <w:rsid w:val="75C31E99"/>
    <w:rsid w:val="75C759C1"/>
    <w:rsid w:val="75D73BB3"/>
    <w:rsid w:val="760E418F"/>
    <w:rsid w:val="76237540"/>
    <w:rsid w:val="76250865"/>
    <w:rsid w:val="762D64F3"/>
    <w:rsid w:val="76371DD9"/>
    <w:rsid w:val="7640392A"/>
    <w:rsid w:val="764F7B90"/>
    <w:rsid w:val="76525AB6"/>
    <w:rsid w:val="766E0E16"/>
    <w:rsid w:val="767E7EFF"/>
    <w:rsid w:val="767F490E"/>
    <w:rsid w:val="769E4C2D"/>
    <w:rsid w:val="76A03E90"/>
    <w:rsid w:val="76AB5F0A"/>
    <w:rsid w:val="76B1218E"/>
    <w:rsid w:val="76B5038D"/>
    <w:rsid w:val="76C57169"/>
    <w:rsid w:val="76E36A81"/>
    <w:rsid w:val="76F603C2"/>
    <w:rsid w:val="76F77A89"/>
    <w:rsid w:val="76FE56EB"/>
    <w:rsid w:val="77071801"/>
    <w:rsid w:val="77081533"/>
    <w:rsid w:val="770C20D5"/>
    <w:rsid w:val="772B4BEA"/>
    <w:rsid w:val="772C7A78"/>
    <w:rsid w:val="77534B96"/>
    <w:rsid w:val="775B4604"/>
    <w:rsid w:val="776F4BB6"/>
    <w:rsid w:val="7775215A"/>
    <w:rsid w:val="777A08F4"/>
    <w:rsid w:val="7781073E"/>
    <w:rsid w:val="77A17F8E"/>
    <w:rsid w:val="77A85CFF"/>
    <w:rsid w:val="77C067C3"/>
    <w:rsid w:val="77D3696A"/>
    <w:rsid w:val="77DB19DB"/>
    <w:rsid w:val="77E50650"/>
    <w:rsid w:val="77EF51A2"/>
    <w:rsid w:val="780479BF"/>
    <w:rsid w:val="78094BD7"/>
    <w:rsid w:val="780D6C4F"/>
    <w:rsid w:val="78134DB8"/>
    <w:rsid w:val="78220195"/>
    <w:rsid w:val="786916EC"/>
    <w:rsid w:val="78877156"/>
    <w:rsid w:val="78911E31"/>
    <w:rsid w:val="78D00DB0"/>
    <w:rsid w:val="78E8339A"/>
    <w:rsid w:val="7922350F"/>
    <w:rsid w:val="792B5470"/>
    <w:rsid w:val="792C1F85"/>
    <w:rsid w:val="79392FF8"/>
    <w:rsid w:val="79443502"/>
    <w:rsid w:val="794F35A6"/>
    <w:rsid w:val="79587B58"/>
    <w:rsid w:val="79673C53"/>
    <w:rsid w:val="796905D1"/>
    <w:rsid w:val="79783B0C"/>
    <w:rsid w:val="797D7F01"/>
    <w:rsid w:val="79A05354"/>
    <w:rsid w:val="79A31A38"/>
    <w:rsid w:val="79A54E28"/>
    <w:rsid w:val="79E204A3"/>
    <w:rsid w:val="79E545A0"/>
    <w:rsid w:val="79F717DF"/>
    <w:rsid w:val="79F8744A"/>
    <w:rsid w:val="7A030C7E"/>
    <w:rsid w:val="7A0472D6"/>
    <w:rsid w:val="7A0717C1"/>
    <w:rsid w:val="7A0B6E83"/>
    <w:rsid w:val="7A460A2C"/>
    <w:rsid w:val="7A4E0EDC"/>
    <w:rsid w:val="7A6F565F"/>
    <w:rsid w:val="7A805419"/>
    <w:rsid w:val="7A8511B0"/>
    <w:rsid w:val="7A8F2F38"/>
    <w:rsid w:val="7A9367CB"/>
    <w:rsid w:val="7A9D0980"/>
    <w:rsid w:val="7AA65741"/>
    <w:rsid w:val="7ABD0B81"/>
    <w:rsid w:val="7ABE5FBB"/>
    <w:rsid w:val="7AC37049"/>
    <w:rsid w:val="7AD9076A"/>
    <w:rsid w:val="7ADB3E53"/>
    <w:rsid w:val="7AE653F1"/>
    <w:rsid w:val="7AF22571"/>
    <w:rsid w:val="7AF72185"/>
    <w:rsid w:val="7AF759BC"/>
    <w:rsid w:val="7AF81895"/>
    <w:rsid w:val="7B1C0D4B"/>
    <w:rsid w:val="7B282B02"/>
    <w:rsid w:val="7B44635D"/>
    <w:rsid w:val="7B6018A6"/>
    <w:rsid w:val="7B69224B"/>
    <w:rsid w:val="7BA23E04"/>
    <w:rsid w:val="7BAF6254"/>
    <w:rsid w:val="7BB33499"/>
    <w:rsid w:val="7BB5539B"/>
    <w:rsid w:val="7BBC615A"/>
    <w:rsid w:val="7BBF68BE"/>
    <w:rsid w:val="7BC419CF"/>
    <w:rsid w:val="7BC53655"/>
    <w:rsid w:val="7BC83F54"/>
    <w:rsid w:val="7BCA6C92"/>
    <w:rsid w:val="7BD478BA"/>
    <w:rsid w:val="7BE80F25"/>
    <w:rsid w:val="7C162328"/>
    <w:rsid w:val="7C1C35A7"/>
    <w:rsid w:val="7C216730"/>
    <w:rsid w:val="7C282F2D"/>
    <w:rsid w:val="7C2A17F0"/>
    <w:rsid w:val="7C45431D"/>
    <w:rsid w:val="7C9A2330"/>
    <w:rsid w:val="7C9D61BC"/>
    <w:rsid w:val="7CA82200"/>
    <w:rsid w:val="7CBF370F"/>
    <w:rsid w:val="7CDC4449"/>
    <w:rsid w:val="7CE41DE7"/>
    <w:rsid w:val="7CF5272C"/>
    <w:rsid w:val="7CF97C7A"/>
    <w:rsid w:val="7CFE7FD2"/>
    <w:rsid w:val="7D027DC3"/>
    <w:rsid w:val="7D084EB2"/>
    <w:rsid w:val="7D0A7433"/>
    <w:rsid w:val="7D1D5E4B"/>
    <w:rsid w:val="7D204D90"/>
    <w:rsid w:val="7D217FDA"/>
    <w:rsid w:val="7D290F22"/>
    <w:rsid w:val="7D3219D5"/>
    <w:rsid w:val="7D3330CE"/>
    <w:rsid w:val="7D3553EF"/>
    <w:rsid w:val="7D444267"/>
    <w:rsid w:val="7D4A0027"/>
    <w:rsid w:val="7D5B649A"/>
    <w:rsid w:val="7D7772FB"/>
    <w:rsid w:val="7D833257"/>
    <w:rsid w:val="7D8D32FC"/>
    <w:rsid w:val="7D991C50"/>
    <w:rsid w:val="7DA76CFA"/>
    <w:rsid w:val="7DAD04AF"/>
    <w:rsid w:val="7DC43066"/>
    <w:rsid w:val="7DCC55DA"/>
    <w:rsid w:val="7DDA520A"/>
    <w:rsid w:val="7DDD0501"/>
    <w:rsid w:val="7DE234DC"/>
    <w:rsid w:val="7DE51372"/>
    <w:rsid w:val="7E075D2D"/>
    <w:rsid w:val="7E085776"/>
    <w:rsid w:val="7E0F3A80"/>
    <w:rsid w:val="7E1C120B"/>
    <w:rsid w:val="7E1F6540"/>
    <w:rsid w:val="7E4648AA"/>
    <w:rsid w:val="7E480ACC"/>
    <w:rsid w:val="7E535653"/>
    <w:rsid w:val="7E5E590F"/>
    <w:rsid w:val="7E6B59F3"/>
    <w:rsid w:val="7E935AFB"/>
    <w:rsid w:val="7E9E4F2F"/>
    <w:rsid w:val="7EAC4CDC"/>
    <w:rsid w:val="7EC35188"/>
    <w:rsid w:val="7ED172B5"/>
    <w:rsid w:val="7ED800CA"/>
    <w:rsid w:val="7EDD5CEC"/>
    <w:rsid w:val="7EE43C82"/>
    <w:rsid w:val="7EEA251F"/>
    <w:rsid w:val="7EEE27BD"/>
    <w:rsid w:val="7EF425B1"/>
    <w:rsid w:val="7F0175D4"/>
    <w:rsid w:val="7F0A51C7"/>
    <w:rsid w:val="7F0A7F03"/>
    <w:rsid w:val="7F1133E2"/>
    <w:rsid w:val="7F405F79"/>
    <w:rsid w:val="7F5C33A2"/>
    <w:rsid w:val="7F735A28"/>
    <w:rsid w:val="7F78573F"/>
    <w:rsid w:val="7F7A455E"/>
    <w:rsid w:val="7F7A69E6"/>
    <w:rsid w:val="7F7B4D54"/>
    <w:rsid w:val="7F904863"/>
    <w:rsid w:val="7F9C6ADB"/>
    <w:rsid w:val="7FA23E7C"/>
    <w:rsid w:val="7FA6410A"/>
    <w:rsid w:val="7FA75A26"/>
    <w:rsid w:val="7FBE551A"/>
    <w:rsid w:val="7FC90A85"/>
    <w:rsid w:val="7FCB7818"/>
    <w:rsid w:val="7FD02878"/>
    <w:rsid w:val="7FD13CB3"/>
    <w:rsid w:val="7FDC6223"/>
    <w:rsid w:val="7FDF141F"/>
    <w:rsid w:val="7FE06B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Arial" w:hAnsi="Arial"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0"/>
    <w:unhideWhenUsed/>
    <w:qFormat/>
    <w:uiPriority w:val="9"/>
    <w:pPr>
      <w:keepNext/>
      <w:keepLines/>
      <w:spacing w:before="260" w:after="260" w:line="416" w:lineRule="auto"/>
      <w:outlineLvl w:val="2"/>
    </w:pPr>
    <w:rPr>
      <w:sz w:val="32"/>
      <w:szCs w:val="32"/>
    </w:rPr>
  </w:style>
  <w:style w:type="paragraph" w:styleId="5">
    <w:name w:val="heading 4"/>
    <w:basedOn w:val="1"/>
    <w:next w:val="1"/>
    <w:unhideWhenUsed/>
    <w:qFormat/>
    <w:uiPriority w:val="9"/>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9">
    <w:name w:val="Default Paragraph Font"/>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semiHidden/>
    <w:qFormat/>
    <w:uiPriority w:val="0"/>
  </w:style>
  <w:style w:type="character" w:styleId="21">
    <w:name w:val="Hyperlink"/>
    <w:basedOn w:val="19"/>
    <w:qFormat/>
    <w:uiPriority w:val="99"/>
    <w:rPr>
      <w:color w:val="0000FF"/>
      <w:u w:val="single"/>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Heading 3 Char"/>
    <w:link w:val="4"/>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3">
    <w:name w:val="TAN"/>
    <w:basedOn w:val="36"/>
    <w:qFormat/>
    <w:uiPriority w:val="0"/>
    <w:pPr>
      <w:ind w:left="851" w:hanging="851"/>
    </w:pPr>
  </w:style>
  <w:style w:type="character" w:customStyle="1" w:styleId="54">
    <w:name w:val="normaltextrun"/>
    <w:basedOn w:val="19"/>
    <w:qFormat/>
    <w:uiPriority w:val="0"/>
  </w:style>
  <w:style w:type="character" w:customStyle="1" w:styleId="55">
    <w:name w:val="eop"/>
    <w:basedOn w:val="19"/>
    <w:qFormat/>
    <w:uiPriority w:val="0"/>
  </w:style>
  <w:style w:type="paragraph" w:customStyle="1" w:styleId="56">
    <w:name w:val="paragraph"/>
    <w:basedOn w:val="1"/>
    <w:qFormat/>
    <w:uiPriority w:val="0"/>
    <w:pPr>
      <w:spacing w:before="100" w:beforeAutospacing="1" w:after="100" w:afterAutospacing="1"/>
    </w:pPr>
    <w:rPr>
      <w:rFonts w:eastAsia="Times New Roman"/>
      <w:sz w:val="24"/>
      <w:szCs w:val="24"/>
    </w:rPr>
  </w:style>
  <w:style w:type="paragraph" w:customStyle="1" w:styleId="57">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9">
    <w:name w:val="B2"/>
    <w:basedOn w:val="10"/>
    <w:qFormat/>
    <w:uiPriority w:val="0"/>
  </w:style>
  <w:style w:type="paragraph" w:customStyle="1" w:styleId="60">
    <w:name w:val="References"/>
    <w:basedOn w:val="1"/>
    <w:qFormat/>
    <w:uiPriority w:val="0"/>
    <w:pPr>
      <w:widowControl/>
      <w:tabs>
        <w:tab w:val="left" w:pos="360"/>
      </w:tabs>
      <w:autoSpaceDE w:val="0"/>
      <w:autoSpaceDN w:val="0"/>
      <w:spacing w:after="60"/>
      <w:ind w:left="360" w:hanging="360"/>
    </w:pPr>
    <w:rPr>
      <w:rFonts w:eastAsia="宋体" w:cs="Times New Roman"/>
      <w:kern w:val="0"/>
      <w:szCs w:val="16"/>
      <w:lang w:eastAsia="en-US"/>
    </w:rPr>
  </w:style>
  <w:style w:type="paragraph" w:customStyle="1" w:styleId="61">
    <w:name w:val="스타일 스타일 스타일 스타일 양쪽 첫 줄:  2 글자 + 첫 줄:  2 글자 + 첫 줄:  2 글자 + 첫 줄:  2..."/>
    <w:basedOn w:val="62"/>
    <w:qFormat/>
    <w:uiPriority w:val="0"/>
    <w:pPr>
      <w:spacing w:line="336" w:lineRule="auto"/>
    </w:pPr>
  </w:style>
  <w:style w:type="paragraph" w:customStyle="1" w:styleId="62">
    <w:name w:val="스타일 스타일 스타일 양쪽 첫 줄:  2 글자 + 첫 줄:  2 글자 + 첫 줄:  2 글자"/>
    <w:basedOn w:val="63"/>
    <w:qFormat/>
    <w:uiPriority w:val="0"/>
    <w:pPr>
      <w:spacing w:line="312" w:lineRule="auto"/>
    </w:pPr>
  </w:style>
  <w:style w:type="paragraph" w:customStyle="1" w:styleId="63">
    <w:name w:val="스타일 스타일 양쪽 첫 줄:  2 글자 + 첫 줄:  2 글자"/>
    <w:basedOn w:val="64"/>
    <w:qFormat/>
    <w:uiPriority w:val="0"/>
    <w:pPr>
      <w:spacing w:line="300" w:lineRule="auto"/>
    </w:pPr>
  </w:style>
  <w:style w:type="paragraph" w:customStyle="1" w:styleId="64">
    <w:name w:val="스타일 양쪽 첫 줄:  2 글자"/>
    <w:basedOn w:val="1"/>
    <w:qFormat/>
    <w:uiPriority w:val="0"/>
    <w:pPr>
      <w:spacing w:line="288" w:lineRule="auto"/>
      <w:ind w:firstLine="200" w:firstLineChars="200"/>
      <w:jc w:val="both"/>
    </w:pPr>
    <w:rPr>
      <w:rFonts w:cs="Batang"/>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2024-08-09T15:53:10Z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5E6BDDB83E4049FCB3EA0B34C0E76F9F</vt:lpwstr>
  </property>
</Properties>
</file>